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F3B43">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04C9C628">
      <w:pPr>
        <w:pStyle w:val="10"/>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县妇幼保健计划生育服务中心医育托育融合设备采购项目购置明细表</w:t>
      </w:r>
    </w:p>
    <w:tbl>
      <w:tblPr>
        <w:tblStyle w:val="8"/>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4FB7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471D0F6E">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0796CB36">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2BD894F8">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6B7D6360">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总价（万元）</w:t>
            </w:r>
          </w:p>
        </w:tc>
      </w:tr>
      <w:tr w14:paraId="4953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7A44D83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4552FF2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手持视力筛查仪</w:t>
            </w:r>
          </w:p>
        </w:tc>
        <w:tc>
          <w:tcPr>
            <w:tcW w:w="2085" w:type="dxa"/>
            <w:noWrap w:val="0"/>
            <w:vAlign w:val="center"/>
          </w:tcPr>
          <w:p w14:paraId="24803BE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1台</w:t>
            </w:r>
          </w:p>
        </w:tc>
        <w:tc>
          <w:tcPr>
            <w:tcW w:w="2505" w:type="dxa"/>
            <w:noWrap w:val="0"/>
            <w:vAlign w:val="center"/>
          </w:tcPr>
          <w:p w14:paraId="529149B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6.27</w:t>
            </w:r>
          </w:p>
        </w:tc>
      </w:tr>
      <w:tr w14:paraId="5C77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12FD8D4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2</w:t>
            </w:r>
          </w:p>
        </w:tc>
        <w:tc>
          <w:tcPr>
            <w:tcW w:w="2865" w:type="dxa"/>
            <w:noWrap w:val="0"/>
            <w:vAlign w:val="center"/>
          </w:tcPr>
          <w:p w14:paraId="1C6F1B2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骨龄软件</w:t>
            </w:r>
          </w:p>
        </w:tc>
        <w:tc>
          <w:tcPr>
            <w:tcW w:w="2085" w:type="dxa"/>
            <w:noWrap w:val="0"/>
            <w:vAlign w:val="center"/>
          </w:tcPr>
          <w:p w14:paraId="71E89AFF">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1套</w:t>
            </w:r>
          </w:p>
        </w:tc>
        <w:tc>
          <w:tcPr>
            <w:tcW w:w="2505" w:type="dxa"/>
            <w:noWrap w:val="0"/>
            <w:vAlign w:val="center"/>
          </w:tcPr>
          <w:p w14:paraId="31A52944">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10.77</w:t>
            </w:r>
          </w:p>
        </w:tc>
      </w:tr>
      <w:tr w14:paraId="257B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5C74371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3</w:t>
            </w:r>
          </w:p>
        </w:tc>
        <w:tc>
          <w:tcPr>
            <w:tcW w:w="2865" w:type="dxa"/>
            <w:noWrap w:val="0"/>
            <w:vAlign w:val="center"/>
          </w:tcPr>
          <w:p w14:paraId="4B14F46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儿童健康测评系统</w:t>
            </w:r>
          </w:p>
        </w:tc>
        <w:tc>
          <w:tcPr>
            <w:tcW w:w="2085" w:type="dxa"/>
            <w:noWrap w:val="0"/>
            <w:vAlign w:val="center"/>
          </w:tcPr>
          <w:p w14:paraId="4FF9DB75">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1套</w:t>
            </w:r>
          </w:p>
        </w:tc>
        <w:tc>
          <w:tcPr>
            <w:tcW w:w="2505" w:type="dxa"/>
            <w:noWrap w:val="0"/>
            <w:vAlign w:val="center"/>
          </w:tcPr>
          <w:p w14:paraId="46876ED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11</w:t>
            </w:r>
          </w:p>
        </w:tc>
      </w:tr>
      <w:tr w14:paraId="051F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416489BD">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4</w:t>
            </w:r>
          </w:p>
        </w:tc>
        <w:tc>
          <w:tcPr>
            <w:tcW w:w="2865" w:type="dxa"/>
            <w:noWrap w:val="0"/>
            <w:vAlign w:val="center"/>
          </w:tcPr>
          <w:p w14:paraId="5F9E0A1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听力筛查仪</w:t>
            </w:r>
          </w:p>
        </w:tc>
        <w:tc>
          <w:tcPr>
            <w:tcW w:w="2085" w:type="dxa"/>
            <w:noWrap w:val="0"/>
            <w:vAlign w:val="center"/>
          </w:tcPr>
          <w:p w14:paraId="2B0E7FC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1台</w:t>
            </w:r>
          </w:p>
        </w:tc>
        <w:tc>
          <w:tcPr>
            <w:tcW w:w="2505" w:type="dxa"/>
            <w:noWrap w:val="0"/>
            <w:vAlign w:val="center"/>
          </w:tcPr>
          <w:p w14:paraId="2F6E511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5</w:t>
            </w:r>
          </w:p>
        </w:tc>
      </w:tr>
      <w:tr w14:paraId="6D19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32D0A37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5</w:t>
            </w:r>
          </w:p>
        </w:tc>
        <w:tc>
          <w:tcPr>
            <w:tcW w:w="2865" w:type="dxa"/>
            <w:noWrap w:val="0"/>
            <w:vAlign w:val="center"/>
          </w:tcPr>
          <w:p w14:paraId="5B4C48B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除颤仪</w:t>
            </w:r>
          </w:p>
        </w:tc>
        <w:tc>
          <w:tcPr>
            <w:tcW w:w="2085" w:type="dxa"/>
            <w:noWrap w:val="0"/>
            <w:vAlign w:val="center"/>
          </w:tcPr>
          <w:p w14:paraId="64B91D9D">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2台</w:t>
            </w:r>
          </w:p>
        </w:tc>
        <w:tc>
          <w:tcPr>
            <w:tcW w:w="2505" w:type="dxa"/>
            <w:noWrap w:val="0"/>
            <w:vAlign w:val="center"/>
          </w:tcPr>
          <w:p w14:paraId="14A68A5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5.47</w:t>
            </w:r>
          </w:p>
        </w:tc>
      </w:tr>
      <w:tr w14:paraId="66E2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663AEED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6</w:t>
            </w:r>
          </w:p>
        </w:tc>
        <w:tc>
          <w:tcPr>
            <w:tcW w:w="2865" w:type="dxa"/>
            <w:noWrap w:val="0"/>
            <w:vAlign w:val="center"/>
          </w:tcPr>
          <w:p w14:paraId="17F8B87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肺功能检测仪</w:t>
            </w:r>
          </w:p>
        </w:tc>
        <w:tc>
          <w:tcPr>
            <w:tcW w:w="2085" w:type="dxa"/>
            <w:noWrap w:val="0"/>
            <w:vAlign w:val="center"/>
          </w:tcPr>
          <w:p w14:paraId="64EB191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1台</w:t>
            </w:r>
          </w:p>
        </w:tc>
        <w:tc>
          <w:tcPr>
            <w:tcW w:w="2505" w:type="dxa"/>
            <w:noWrap w:val="0"/>
            <w:vAlign w:val="center"/>
          </w:tcPr>
          <w:p w14:paraId="02B6061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10.83</w:t>
            </w:r>
          </w:p>
        </w:tc>
      </w:tr>
      <w:tr w14:paraId="14E0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22E7F69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7</w:t>
            </w:r>
          </w:p>
        </w:tc>
        <w:tc>
          <w:tcPr>
            <w:tcW w:w="2865" w:type="dxa"/>
            <w:noWrap w:val="0"/>
            <w:vAlign w:val="center"/>
          </w:tcPr>
          <w:p w14:paraId="2D2805E5">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母乳分析仪</w:t>
            </w:r>
          </w:p>
        </w:tc>
        <w:tc>
          <w:tcPr>
            <w:tcW w:w="2085" w:type="dxa"/>
            <w:noWrap w:val="0"/>
            <w:vAlign w:val="center"/>
          </w:tcPr>
          <w:p w14:paraId="554B61D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1台</w:t>
            </w:r>
          </w:p>
        </w:tc>
        <w:tc>
          <w:tcPr>
            <w:tcW w:w="2505" w:type="dxa"/>
            <w:noWrap w:val="0"/>
            <w:vAlign w:val="center"/>
          </w:tcPr>
          <w:p w14:paraId="3615942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12</w:t>
            </w:r>
          </w:p>
        </w:tc>
      </w:tr>
      <w:tr w14:paraId="3E48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16173CF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8</w:t>
            </w:r>
          </w:p>
        </w:tc>
        <w:tc>
          <w:tcPr>
            <w:tcW w:w="2865" w:type="dxa"/>
            <w:noWrap w:val="0"/>
            <w:vAlign w:val="center"/>
          </w:tcPr>
          <w:p w14:paraId="45C28E6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骨密度分析仪</w:t>
            </w:r>
          </w:p>
        </w:tc>
        <w:tc>
          <w:tcPr>
            <w:tcW w:w="2085" w:type="dxa"/>
            <w:noWrap w:val="0"/>
            <w:vAlign w:val="center"/>
          </w:tcPr>
          <w:p w14:paraId="74B828B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1台</w:t>
            </w:r>
          </w:p>
        </w:tc>
        <w:tc>
          <w:tcPr>
            <w:tcW w:w="2505" w:type="dxa"/>
            <w:noWrap w:val="0"/>
            <w:vAlign w:val="center"/>
          </w:tcPr>
          <w:p w14:paraId="5F4EB7A5">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10.33</w:t>
            </w:r>
          </w:p>
        </w:tc>
      </w:tr>
      <w:tr w14:paraId="6010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5015B67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5840DE24">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623D7AB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13D43B0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小写：71.67万元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柒拾壹万陆仟柒佰元整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7D98863B">
      <w:pPr>
        <w:rPr>
          <w:rFonts w:hint="eastAsia" w:hAnsi="Times New Roman" w:eastAsia="方正仿宋简体" w:cs="Times New Roman"/>
          <w:b/>
          <w:bCs/>
          <w:i w:val="0"/>
          <w:iCs w:val="0"/>
          <w:caps w:val="0"/>
          <w:color w:val="auto"/>
          <w:spacing w:val="0"/>
          <w:sz w:val="32"/>
          <w:szCs w:val="32"/>
          <w:highlight w:val="none"/>
          <w:lang w:val="en-US" w:eastAsia="zh-CN"/>
        </w:rPr>
      </w:pPr>
    </w:p>
    <w:p w14:paraId="7718F5C8">
      <w:pPr>
        <w:rPr>
          <w:rFonts w:hint="eastAsia" w:hAnsi="Times New Roman" w:eastAsia="方正仿宋简体" w:cs="Times New Roman"/>
          <w:b/>
          <w:bCs/>
          <w:i w:val="0"/>
          <w:iCs w:val="0"/>
          <w:caps w:val="0"/>
          <w:color w:val="auto"/>
          <w:spacing w:val="0"/>
          <w:sz w:val="32"/>
          <w:szCs w:val="32"/>
          <w:highlight w:val="none"/>
          <w:lang w:val="en-US" w:eastAsia="zh-CN"/>
        </w:rPr>
      </w:pPr>
    </w:p>
    <w:p w14:paraId="2B45D682">
      <w:pPr>
        <w:numPr>
          <w:ilvl w:val="0"/>
          <w:numId w:val="0"/>
        </w:numPr>
        <w:rPr>
          <w:rFonts w:hint="default" w:hAnsi="Times New Roman" w:eastAsia="方正仿宋简体" w:cs="Times New Roman"/>
          <w:b/>
          <w:bCs/>
          <w:i w:val="0"/>
          <w:iCs w:val="0"/>
          <w:caps w:val="0"/>
          <w:color w:val="auto"/>
          <w:spacing w:val="0"/>
          <w:sz w:val="32"/>
          <w:szCs w:val="32"/>
          <w:highlight w:val="none"/>
          <w:lang w:val="en-US" w:eastAsia="zh-CN"/>
        </w:rPr>
      </w:pPr>
    </w:p>
    <w:p w14:paraId="2644A396">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02AAA425">
      <w:pPr>
        <w:pStyle w:val="10"/>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县妇幼保健计划生育服务中心托育医育融合设备采购项目参数明细表</w:t>
      </w:r>
    </w:p>
    <w:tbl>
      <w:tblPr>
        <w:tblStyle w:val="11"/>
        <w:tblW w:w="53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2964"/>
        <w:gridCol w:w="5665"/>
      </w:tblGrid>
      <w:tr w14:paraId="35ED9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8" w:type="pct"/>
            <w:noWrap w:val="0"/>
            <w:vAlign w:val="center"/>
          </w:tcPr>
          <w:p w14:paraId="781BA793">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577" w:type="pct"/>
            <w:noWrap w:val="0"/>
            <w:vAlign w:val="center"/>
          </w:tcPr>
          <w:p w14:paraId="793F9E62">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3014" w:type="pct"/>
            <w:noWrap w:val="0"/>
            <w:vAlign w:val="center"/>
          </w:tcPr>
          <w:p w14:paraId="45F09954">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396E6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1CD97846">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577" w:type="pct"/>
            <w:noWrap w:val="0"/>
            <w:vAlign w:val="center"/>
          </w:tcPr>
          <w:p w14:paraId="599FBCD2">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手持视力筛查仪</w:t>
            </w:r>
          </w:p>
        </w:tc>
        <w:tc>
          <w:tcPr>
            <w:tcW w:w="3014" w:type="pct"/>
            <w:noWrap w:val="0"/>
            <w:vAlign w:val="top"/>
          </w:tcPr>
          <w:p w14:paraId="52C0DF4D">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1、适用人群：设备可适配六个月以上婴幼儿、儿童及成人开展眼部筛查检测。</w:t>
            </w:r>
          </w:p>
          <w:p w14:paraId="22A141AE">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2、筛查检测内容：可完成屈光状态筛查、眼位状态检测、瞳孔大小及瞳孔间距检测、眼部凝视偏差检测、上睑下垂筛查等项目，可对近视、弱视、斜视等眼部异常风险进行筛查评估。</w:t>
            </w:r>
          </w:p>
          <w:p w14:paraId="7944FC27">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3、筛查工作模式：支持双眼同步检测，同时具备单眼独立检测功能；单眼检测模式下，可自主选择左眼或右眼单独筛查。</w:t>
            </w:r>
          </w:p>
          <w:p w14:paraId="6AE26B7B">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4、球镜度检测参数：球镜度测量范围覆盖-10.00D至+10.00D，支持0.25D、0.01D两种分辨率，检测精度为±0.50D。</w:t>
            </w:r>
          </w:p>
          <w:p w14:paraId="2B6C54C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5、柱镜度检测参数：柱镜度测量范围覆盖-3.00D至+3.00D，分辨率为0.25D，检测精度为±0.5D。</w:t>
            </w:r>
          </w:p>
          <w:p w14:paraId="4A4C98A2">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6、瞳孔检测参数：瞳孔直径测量范围为3.2mm至9mm，测量分辨率为1mm。</w:t>
            </w:r>
          </w:p>
          <w:p w14:paraId="162561A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7、注视引导方式：设备配备灯光、卡通画面及音乐音效引导功能，可有效吸引受测者注意力，保障筛查顺利进行。</w:t>
            </w:r>
          </w:p>
          <w:p w14:paraId="4F876E6E">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8、数据传输与打印接口：设备支持Wi-Fi、USB、蓝牙多种数据传输方式；打印输出支持Wi-Fi、USB接口连接，适配多种打印设备。</w:t>
            </w:r>
          </w:p>
          <w:p w14:paraId="02E7902B">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9、设备结构显示设计：采用人体工程学结构设计，操作屏幕呈45°前倾角度，符合操作习惯；配备显示屏，屏幕尺寸不小于5.0英寸。</w:t>
            </w:r>
          </w:p>
          <w:p w14:paraId="794C60B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10、供电续航配置：配备可充电锂电池，支持电池更换，设备持续工作续航时长不低于8小时，满足长时间批量筛查工作需求。</w:t>
            </w:r>
          </w:p>
          <w:p w14:paraId="1EF5B96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11、信息录入功能：支持多种人员信息录入方式，包含主机触屏中文手写录入、无线扫码录入、Excel批量导入、PC端Wi-Fi直连导入等方式，操作便捷，提升工作效率。</w:t>
            </w:r>
          </w:p>
          <w:p w14:paraId="20F00AE6">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12、系统拓展与对接能力：设备系统具备开放性，支持端口开放与物联网联网功能，可实现筛查工作数字化流程管理，可适配对接各类第三方信息管理系统。</w:t>
            </w:r>
          </w:p>
          <w:p w14:paraId="794D700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13、报告输出形式：支持便签简易报告、A4规格图文详细报告两种输出模式。</w:t>
            </w:r>
          </w:p>
          <w:p w14:paraId="0A7430E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14、检测性能参数：单次设备检测时长≤1秒，标准检测距离为970cm±30cm。</w:t>
            </w:r>
          </w:p>
          <w:p w14:paraId="15FE06EB">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15、系统升级功能：设备支持Wi-Fi网络连接，可在线完成设备软件版本升级更新。</w:t>
            </w:r>
          </w:p>
          <w:p w14:paraId="278A50D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16、设备重量：整机重量不大于1KG，设备轻便便携。</w:t>
            </w:r>
          </w:p>
          <w:p w14:paraId="2BD9400A">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kern w:val="0"/>
                <w:sz w:val="24"/>
                <w:szCs w:val="24"/>
                <w:lang w:val="en-US" w:eastAsia="zh-CN" w:bidi="ar"/>
              </w:rPr>
              <w:t>17、设备使用年限：整机设计使用寿命不低于10年，设备性能稳定耐用。</w:t>
            </w:r>
          </w:p>
        </w:tc>
      </w:tr>
      <w:tr w14:paraId="053A1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6F45E0A3">
            <w:pPr>
              <w:keepNext w:val="0"/>
              <w:keepLines w:val="0"/>
              <w:pageBreakBefore w:val="0"/>
              <w:kinsoku/>
              <w:wordWrap/>
              <w:overflowPunct/>
              <w:topLinePunct w:val="0"/>
              <w:autoSpaceDE/>
              <w:autoSpaceDN/>
              <w:bidi w:val="0"/>
              <w:adjustRightInd/>
              <w:snapToGrid/>
              <w:spacing w:before="141"/>
              <w:ind w:left="95"/>
              <w:jc w:val="center"/>
              <w:textAlignment w:val="auto"/>
              <w:rPr>
                <w:rFonts w:hint="eastAsia"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2</w:t>
            </w:r>
          </w:p>
        </w:tc>
        <w:tc>
          <w:tcPr>
            <w:tcW w:w="1577" w:type="pct"/>
            <w:noWrap w:val="0"/>
            <w:vAlign w:val="center"/>
          </w:tcPr>
          <w:p w14:paraId="53981CBC">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骨龄软件</w:t>
            </w:r>
          </w:p>
        </w:tc>
        <w:tc>
          <w:tcPr>
            <w:tcW w:w="3014" w:type="pct"/>
            <w:noWrap w:val="0"/>
            <w:vAlign w:val="top"/>
          </w:tcPr>
          <w:p w14:paraId="4006225C">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1、系统支持骨龄数值快速评估，可自动完成骨骼发育分期判定。系统内置完整的骨骼发育分期参考图库，包含结构示意图及影像参考图谱，搭配分期特征说明，辅助操作人员精准完成骨发育分期评价。</w:t>
            </w:r>
          </w:p>
          <w:p w14:paraId="7B02DFCE">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2、评估技术标准：系统兼容多种主流骨龄评估算法，支持CHN法、TW3法、中华05法定量评估骨骼发育水平，评估规范符合国内手腕骨发育相关行业标准要求。</w:t>
            </w:r>
          </w:p>
          <w:p w14:paraId="3CE909E8">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3、影像处理效率：支持智能影像识别分析，单组骨龄影像识别评估时长≤5秒，分析高效快捷。</w:t>
            </w:r>
          </w:p>
          <w:p w14:paraId="2F022A51">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4、适用评估影像类型：支持对手指骨、掌骨、腕骨、桡骨远端正位X光影像进行骨龄分析评估。</w:t>
            </w:r>
          </w:p>
          <w:p w14:paraId="4527156E">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5、骨骺分期辅助评估功能：系统针对各类骨骼发育成熟指征，配套对应的参考图谱及文字释义说明，辅助标准化分期判断。</w:t>
            </w:r>
          </w:p>
          <w:p w14:paraId="103560DA">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6、系统基础架构：整体包含骨龄智能评测功能模块、数据与报告显示输出功能模块，满足检测、分析、展示、输出全流程需求。</w:t>
            </w:r>
          </w:p>
          <w:p w14:paraId="50F42305">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7、适用评估人群：适用于女性0-18岁、男性0-19岁儿童及青少年骨骼发育评估。</w:t>
            </w:r>
          </w:p>
          <w:p w14:paraId="1145A3D6">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8、综合评估功能：可通过CHN、TW3、中华05多种算法评估骨龄发育阶段、身高发育偏离情况；可基于多种骨龄算法预测成年终身高；支持国内通用遗传身高计算方式测算儿童遗传靶身高；可通过对应算法预测女性青少年初潮年龄；具备BMI体质指数检测评估功能。</w:t>
            </w:r>
          </w:p>
          <w:p w14:paraId="5BD435F9">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9、实训学习功能：系统配备图谱查阅、模拟测验、影像读片练习功能，可用于操作人员技能培训、实操演练，提升骨龄判读专业性与准确性。</w:t>
            </w:r>
          </w:p>
          <w:p w14:paraId="41AEDBA3">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10、智能异常识别功能：系统具备智能甄别能力，可识别骨骼发育异常、骨骼个体变异情况，对发育程度不一致、存在明显异常的参照骨骼进行区分提示，保障评估准确性。</w:t>
            </w:r>
          </w:p>
          <w:p w14:paraId="3AC3CE38">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11、综合数据管理功能：系统支持测评数据多条件检索、信息编辑、数据导入、数据导出，实现检测数据规范化管理。</w:t>
            </w:r>
          </w:p>
          <w:p w14:paraId="5140A360">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12、一体化评估输出功能：支持一键完成骨龄智能评估，快速输出骨龄检测结果；可结合身高、体重、体质指数完成综合发育评估，自动匹配对应的临床干预指导建议；系统内置标准化骨龄学习练习资源，包含各骨骼发育等级标准定义、大量临床参考影像素材，支持常态化技能练习与质量把控，保障骨龄评估结果的稳定性与准确性。</w:t>
            </w:r>
          </w:p>
          <w:p w14:paraId="2982C109">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13、智能化报告输出功能：支持一键生成标准化检测报告，可根据不同性别、年龄段匹配对应骨龄评估数据；支持输出A4规格中文检测报告单，可实时预览及打印；可生成骨骼发育成熟度曲线报告、身高评估报告、BMI分析报告、儿童生长发育综合评估报告及对应的个性化指导建议报告。</w:t>
            </w:r>
          </w:p>
          <w:p w14:paraId="3F0032B3">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14、专项评估模块：配备儿童中医体质评估功能、儿童性早熟专项测评功能，可实现早期发育风险筛查，为骨骺发育保护、早期干预提供数据支撑。</w:t>
            </w:r>
          </w:p>
          <w:p w14:paraId="0E907B04">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15、心理评估模块：内置儿童生长发育心理评估功能，可对儿童生长发育相关心理状态进行测评分析。</w:t>
            </w:r>
          </w:p>
          <w:p w14:paraId="56D45E6A">
            <w:pPr>
              <w:keepNext w:val="0"/>
              <w:keepLines w:val="0"/>
              <w:pageBreakBefore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16、膳食运动指导功能：具备儿童膳食与运动个性化方案制定能力，集成儿童体格发育评估、日常运动调查、饮食摄入调查、膳食营养分析、食谱智能匹配、自定义食谱编辑等功能，可根据儿童发育情况生成个性化膳食、运动指导方案。</w:t>
            </w:r>
          </w:p>
        </w:tc>
      </w:tr>
      <w:tr w14:paraId="3310B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22DDA22A">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3</w:t>
            </w:r>
          </w:p>
        </w:tc>
        <w:tc>
          <w:tcPr>
            <w:tcW w:w="1577" w:type="pct"/>
            <w:noWrap w:val="0"/>
            <w:vAlign w:val="center"/>
          </w:tcPr>
          <w:p w14:paraId="464B4F90">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儿童健康测评系统</w:t>
            </w:r>
          </w:p>
        </w:tc>
        <w:tc>
          <w:tcPr>
            <w:tcW w:w="3014" w:type="pct"/>
            <w:noWrap w:val="0"/>
            <w:vAlign w:val="top"/>
          </w:tcPr>
          <w:p w14:paraId="747FBA50">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1、档案管理：系统支持建立受测儿童电子档案，档案字段包含姓名、性别、身高、体重、出生日期等信息，可完成档案新增、档案信息修改维护操作。</w:t>
            </w:r>
          </w:p>
          <w:p w14:paraId="21F135D9">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2、数据查询：系统支持多条件对测评数据进行检索、编辑、导出管理；支持多种检索方式调取病案及监测数据；可查看历次接诊信息、历次测评项目以及对应的检测结果。</w:t>
            </w:r>
          </w:p>
          <w:p w14:paraId="32EA75A4">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3、数据存储：支持测评数据实时查询、编辑、导出以及备份保存。</w:t>
            </w:r>
          </w:p>
          <w:p w14:paraId="6A9B7939">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4、系统应具备多场景测评工具集，覆盖儿童注意力、儿童智力、儿童生长发育测评、儿童心理测评、膳食营养指导、健康检查记录相关业务模块：</w:t>
            </w:r>
          </w:p>
          <w:p w14:paraId="7A215139">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（1）儿童注意力测评：包含注意力图形测试（4‑16 岁）、注意力字母测试（4‑16 岁）、注意力数字测试（4‑16 岁）、舒尔特方格训练（5‑16 岁）、儿童注意力家长评定量表、儿童注意力自我评定量表。</w:t>
            </w:r>
          </w:p>
          <w:p w14:paraId="6CACE77D">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（2）儿童智力测评：包含联合瑞文 CRT 测试（5 岁以上）、图片词汇测试（3 岁 3 个月‑8 岁 5 个月）、绘人测验 DPT（4 岁‑12 岁）、智能综合测试（3 岁以下）、丹佛婴幼儿智能发育筛查（0‑6 岁）、小儿神经心理发育检查表（0‑6 岁）、韦氏儿童智力量表 C‑WISC、韦氏幼儿智力量表 C‑WYCSI、Gesell 量表（0‑6 岁）、DST 儿童智能发育筛查（0‑6 岁）。</w:t>
            </w:r>
          </w:p>
          <w:p w14:paraId="77DDEEC4">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（3）儿童生长发育测评：包含色盲色弱测试、色觉检查、未来身高预测、Peabody 运动发育测评（0‑5 岁）、儿童生长发育测评，支持调取查看历史生长发育测评记录。</w:t>
            </w:r>
          </w:p>
          <w:p w14:paraId="328FA781">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（4）儿童心理测评：包含感觉统合测试（0‑12 岁）、0 岁～6 岁儿童发育行为评估量表（儿心量表‑II）、婴幼儿孤独症筛查量表（M‑CHAT)、3‑7 岁儿童气质量表、儿童孤独症评定量表（CARS）、儿童自我意识量表（8‑16 岁）、上海市儿童多动症行为量表、康奈尔儿童多动症行为诊断量表、Rutter 儿童行为问卷（父母问卷）、Rutter 儿童行为问卷（教师问卷）、心理健康诊断测验（MHT）、青少年忧郁情绪自我检视表、网络成瘾自测、学习障碍儿童筛查量表（PRS）（5‑15 岁）、Achenbach 儿童行为量表（CBCL）（4‑16 岁）、婴儿‑初中学生社会生活能力量表（S‑M）（6 个月‑14 岁）、新生儿 20 项行为神经测查方法（NBNA）、SNAP‑Ⅳ 评定量表（6‑18 岁）、Conners 教师评定量表（TRS）（3‑17 岁）、Conners 父母评定量表（PSQ）（3‑17 岁）、长处和困难问卷（老师版）（4‑16 岁）、长处和困难问卷（家长版）（4‑16 岁）、长处和困难问卷（学生版）（11‑17 岁）、孤独症行为量表（ABC）、家庭环境量表（FES）、艾森克人格问卷（7‑15 岁）（EPQ）、儿童社交焦虑心理量表（SASC）（6‑14 岁）、抑郁状态问卷（DSI）、抑郁自评量表（SDS）、儿童抑郁自评量表（CES‑DC）（6‑18 岁）、青少年生活事件量表（11‑18 岁）、学龄前儿童活动调查表（PSAI）（3‑5 岁）、Sarason 考试焦虑量表、汉密尔顿抑郁量表（HAMD）、威廉斯创造力倾向测验量表、焦虑自评量表（SAS）、克氏孤独症行为量表（CABS）、1‑3 岁儿童气质量表、1‑4 月小婴儿气质量表、5‑11 月婴儿气质量表、卡特尔 16 种人格因素问卷、症状自评量表（SCL‑90 ）（16 岁以上）、霍兰德职业兴趣测量表、儿童神经心理行为检查量表 2016 版、儿童睡眠习惯问卷（3 岁以上）、学前儿童入学能力测评（4‑7 岁）、ADHD 评定量表、耶鲁综合抽动严重程度量表（YGTSS）、0‑2 岁婴幼儿睡眠评估问卷、儿童抽动症诊断标准（2‑20 岁）、VOJTA 姿势反射量表（0‑1 岁）、0~1 岁神经运动检查 20 项（INMA）、Alberta 婴儿运动量表、躁狂量表（BRMS）、简明精神病量表（BPRS）、汉语沟通发展量表（8‑16 月）、汉语沟通发展量表（16‑30 月）、语言发育迟缓检查法（S‑S 法）、儿童心理行为发育问题预警征象筛查表、婴幼儿语言发育筛查量表。</w:t>
            </w:r>
          </w:p>
          <w:p w14:paraId="4498EA58">
            <w:pPr>
              <w:pStyle w:val="2"/>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（5）膳食营养指导模块：提供 0‑6 岁膳食营养指导、0‑6 岁右脑开发方案、0‑6 岁儿童发展关键期提示、0‑6 岁各阶段小儿智能开发、0‑6 岁儿童生长发育指标、儿童生长发育指标参考、0‑3 岁幼儿语言能力发展时间及特点、营养食谱参考、膳食营养素参考摄入量、各类营养素主要功能、缺乏症状及食物来源、儿童铅中毒的危害及预防、矿物质与健康、儿童常见食物营养素成分表相关内容。</w:t>
            </w:r>
          </w:p>
          <w:p w14:paraId="6117BEC7">
            <w:pPr>
              <w:pStyle w:val="2"/>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lang w:val="en-US" w:eastAsia="zh-CN"/>
              </w:rPr>
              <w:t>（6）健康检查记录模块：支持新生儿家庭访视记录表、1‑8 月龄儿童健康检查记录表、12‑30 月龄儿童健康检查记录表、3‑6 岁儿童健康检查记录表、儿童入园体检记录的管理。</w:t>
            </w:r>
          </w:p>
        </w:tc>
      </w:tr>
      <w:tr w14:paraId="4326E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09A17059">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4</w:t>
            </w:r>
          </w:p>
        </w:tc>
        <w:tc>
          <w:tcPr>
            <w:tcW w:w="1577" w:type="pct"/>
            <w:noWrap w:val="0"/>
            <w:vAlign w:val="center"/>
          </w:tcPr>
          <w:p w14:paraId="2D8C4148">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听力筛查仪</w:t>
            </w:r>
          </w:p>
        </w:tc>
        <w:tc>
          <w:tcPr>
            <w:tcW w:w="3014" w:type="pct"/>
            <w:noWrap w:val="0"/>
            <w:vAlign w:val="top"/>
          </w:tcPr>
          <w:p w14:paraId="2127AB96">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 xml:space="preserve">测试功能：设备应同时具备 TEOAE、DPOAE 两项测试能力。 </w:t>
            </w:r>
          </w:p>
          <w:p w14:paraId="67D8A099">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 xml:space="preserve">测试技术：采用耳声发射检测技术。 </w:t>
            </w:r>
          </w:p>
          <w:p w14:paraId="5567812E">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TEOAE 测试 评估算法：支持噪音加权平均、信号峰值计算； 刺激信号：非线性 Click 刺激； 刺激声强：60~83dB SPL； 接收分析频率：0.8kHz</w:t>
            </w:r>
            <w:r>
              <w:rPr>
                <w:rFonts w:hint="default" w:ascii="Times New Roman" w:hAnsi="Times New Roman" w:eastAsia="方正仿宋简体" w:cs="Times New Roman"/>
                <w:b/>
                <w:bCs/>
                <w:sz w:val="24"/>
                <w:szCs w:val="24"/>
              </w:rPr>
              <w:noBreakHyphen/>
            </w:r>
            <w:r>
              <w:rPr>
                <w:rFonts w:hint="default" w:ascii="Times New Roman" w:hAnsi="Times New Roman" w:eastAsia="方正仿宋简体" w:cs="Times New Roman"/>
                <w:b/>
                <w:bCs/>
                <w:sz w:val="24"/>
                <w:szCs w:val="24"/>
              </w:rPr>
              <w:t>5kHz； 结果输出：可展示统计波形、信噪比、相关系数等检测结果。</w:t>
            </w:r>
          </w:p>
          <w:p w14:paraId="70B6C5BC">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DPOAE 测试 评估算法：支持相位统计法； 测试频率范围：0.984kHz～6kHz； 刺激信号：两路基本匹配的纯音刺激； 结果输出：可展示听力图、DPOAE 检测水平、信噪比</w:t>
            </w:r>
            <w:r>
              <w:rPr>
                <w:rFonts w:hint="eastAsia" w:ascii="Times New Roman" w:hAnsi="Times New Roman" w:eastAsia="方正仿宋简体" w:cs="Times New Roman"/>
                <w:b/>
                <w:bCs/>
                <w:sz w:val="24"/>
                <w:szCs w:val="24"/>
                <w:lang w:eastAsia="zh-CN"/>
              </w:rPr>
              <w:t>。</w:t>
            </w:r>
          </w:p>
          <w:p w14:paraId="7A4A7733">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显示与操作 操作界面：具备中文操作显示界面； 显示器件：彩色 TFT 触控显示屏； 屏幕尺寸不小于 4.3 英寸，分辨率不低于 272×480 像素； 操作方式：支持电容触控操作。</w:t>
            </w:r>
          </w:p>
          <w:p w14:paraId="133FDAF0">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数据存储：主机本地存储容量可存储不少于 2000 例受试者测试档案。</w:t>
            </w:r>
          </w:p>
          <w:p w14:paraId="477818F5">
            <w:pPr>
              <w:pStyle w:val="6"/>
              <w:keepNext w:val="0"/>
              <w:keepLines w:val="0"/>
              <w:widowControl/>
              <w:numPr>
                <w:ilvl w:val="0"/>
                <w:numId w:val="1"/>
              </w:numPr>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时钟功能：设备可对接计算机实现系统时钟同步。</w:t>
            </w:r>
          </w:p>
          <w:p w14:paraId="4BC46512">
            <w:pPr>
              <w:pStyle w:val="6"/>
              <w:keepNext w:val="0"/>
              <w:keepLines w:val="0"/>
              <w:widowControl/>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8、外部接口 数据通讯：具备 USB 接口，实现与计算机数据交互； 打印输出：支持蓝牙方式实现打印输出。</w:t>
            </w:r>
          </w:p>
          <w:p w14:paraId="0B99FC4A">
            <w:pPr>
              <w:pStyle w:val="6"/>
              <w:keepNext w:val="0"/>
              <w:keepLines w:val="0"/>
              <w:widowControl/>
              <w:suppressLineNumbers w:val="0"/>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9、内置电池：配置可充电锂离子电池。</w:t>
            </w:r>
          </w:p>
          <w:p w14:paraId="57FAA857">
            <w:pPr>
              <w:pStyle w:val="6"/>
              <w:keepNext w:val="0"/>
              <w:keepLines w:val="0"/>
              <w:widowControl/>
              <w:suppressLineNumbers w:val="0"/>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rPr>
              <w:t>10、外接直流供电：支持 12V DC±0.3V 直流电源输入。</w:t>
            </w:r>
          </w:p>
        </w:tc>
      </w:tr>
      <w:tr w14:paraId="3F9A0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4742AD92">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5</w:t>
            </w:r>
          </w:p>
        </w:tc>
        <w:tc>
          <w:tcPr>
            <w:tcW w:w="1577" w:type="pct"/>
            <w:noWrap w:val="0"/>
            <w:vAlign w:val="center"/>
          </w:tcPr>
          <w:p w14:paraId="31B31832">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除颤仪</w:t>
            </w:r>
          </w:p>
        </w:tc>
        <w:tc>
          <w:tcPr>
            <w:tcW w:w="3014" w:type="pct"/>
            <w:noWrap w:val="0"/>
            <w:vAlign w:val="top"/>
          </w:tcPr>
          <w:p w14:paraId="00A0578A">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主机设计使用寿命不低于10年。</w:t>
            </w:r>
          </w:p>
          <w:p w14:paraId="08CD4D1E">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2</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设备配置便携握持结构；具备开盖触发开机能力。</w:t>
            </w:r>
          </w:p>
          <w:p w14:paraId="02626D3A">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3</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设备开机工作状态下，主机界面可实现有效功能操作的操作控件（实体、虚拟控件）数量不大于2个；有效操作指触发后设备产生对应功能响应，降低误操作风险。</w:t>
            </w:r>
          </w:p>
          <w:p w14:paraId="6DA9E14B">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4</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设备工作温度范围至少覆盖</w:t>
            </w:r>
            <w:r>
              <w:rPr>
                <w:rFonts w:hint="default" w:ascii="Times New Roman" w:hAnsi="Times New Roman" w:eastAsia="方正仿宋简体" w:cs="Times New Roman"/>
                <w:b/>
                <w:bCs/>
                <w:sz w:val="24"/>
                <w:szCs w:val="24"/>
              </w:rPr>
              <w:noBreakHyphen/>
            </w:r>
            <w:r>
              <w:rPr>
                <w:rFonts w:hint="default" w:ascii="Times New Roman" w:hAnsi="Times New Roman" w:eastAsia="方正仿宋简体" w:cs="Times New Roman"/>
                <w:b/>
                <w:bCs/>
                <w:sz w:val="24"/>
                <w:szCs w:val="24"/>
              </w:rPr>
              <w:t>5℃～50℃，在此温度范围内可连续工作不少于60分钟；工作湿度0～95%（非冷凝）。</w:t>
            </w:r>
          </w:p>
          <w:p w14:paraId="1000B79D">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5</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设备具备抗跌落冲击能力，设备各个面承受1m高度跌落冲击后，设备可正常工作无功能性损坏。</w:t>
            </w:r>
          </w:p>
          <w:p w14:paraId="4E772635">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6</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采用双相波除颤技术，可适用于成人、儿童患者；可依据患者人体阻抗自动进行波形补偿，适配患者阻抗范围20Ω</w:t>
            </w:r>
            <w:r>
              <w:rPr>
                <w:rFonts w:hint="default" w:ascii="Times New Roman" w:hAnsi="Times New Roman" w:eastAsia="方正仿宋简体" w:cs="Times New Roman"/>
                <w:b/>
                <w:bCs/>
                <w:sz w:val="24"/>
                <w:szCs w:val="24"/>
              </w:rPr>
              <w:noBreakHyphen/>
            </w:r>
            <w:r>
              <w:rPr>
                <w:rFonts w:hint="default" w:ascii="Times New Roman" w:hAnsi="Times New Roman" w:eastAsia="方正仿宋简体" w:cs="Times New Roman"/>
                <w:b/>
                <w:bCs/>
                <w:sz w:val="24"/>
                <w:szCs w:val="24"/>
              </w:rPr>
              <w:t>300Ω。</w:t>
            </w:r>
          </w:p>
          <w:p w14:paraId="7EA9E06A">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7</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成人模式最大除颤输出能量≥360J；设备具备放电执行机构，可实现放电操作，可配置放电标识或支持自动放电工作模式。</w:t>
            </w:r>
          </w:p>
          <w:p w14:paraId="38D96527">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8</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设备可支持150J能量档位除颤工作次数大于500 次。</w:t>
            </w:r>
          </w:p>
          <w:p w14:paraId="054D7C43">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9</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设备可支持200J 能量档位除颤工作次数大于400 次。</w:t>
            </w:r>
          </w:p>
          <w:p w14:paraId="7053B377">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10</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设备可支持360J能量档位除颤工作次数大于200 次。</w:t>
            </w:r>
          </w:p>
          <w:p w14:paraId="499BFED1">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11</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配套电极片产品出厂有效期不少于36个月。</w:t>
            </w:r>
          </w:p>
          <w:p w14:paraId="14118C73">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12</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设备可识别电极片类型，可依据识别结果匹配适配的除颤能量输出。</w:t>
            </w:r>
          </w:p>
          <w:p w14:paraId="7E2657E9">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13</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配套供电电池，电池设计有效期不低于6年，具备失效时间标识。</w:t>
            </w:r>
          </w:p>
          <w:p w14:paraId="314D0BE3">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14</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设备支持中英文双语显示与语音输出；具备语言快速切换操作方式，适用于公共场景使用。</w:t>
            </w:r>
          </w:p>
          <w:p w14:paraId="2DE5397A">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15</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设备支持成人、小儿患者模式快速切换，切换后自动适配对应提示信息与除颤输出能量。</w:t>
            </w:r>
          </w:p>
          <w:p w14:paraId="5B3760B9">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16</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配备CPR节拍功能，具备胸外按压质量实时语音引导；支持30:2、15:2按压通气比例；语音最大输出音量不小于80dB。</w:t>
            </w:r>
          </w:p>
          <w:p w14:paraId="49B0CA90">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17</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设备支持移动通信传输能力，可配置3G/4G/5G通信模块；具备WIFI功能扩展升级能力。</w:t>
            </w:r>
          </w:p>
          <w:p w14:paraId="33EE0D99">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18</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设备具备本地数据导出接口，可通过USB方式导出设备存储数据。</w:t>
            </w:r>
          </w:p>
          <w:p w14:paraId="03E0DAC8">
            <w:pPr>
              <w:spacing w:line="276" w:lineRule="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19</w:t>
            </w:r>
            <w:r>
              <w:rPr>
                <w:rFonts w:hint="default" w:ascii="Times New Roman" w:hAnsi="Times New Roman" w:eastAsia="方正仿宋简体" w:cs="Times New Roman"/>
                <w:b/>
                <w:bCs/>
                <w:sz w:val="24"/>
                <w:szCs w:val="24"/>
                <w:lang w:val="en-US" w:eastAsia="zh-CN"/>
              </w:rPr>
              <w:t>.</w:t>
            </w:r>
            <w:r>
              <w:rPr>
                <w:rFonts w:hint="default" w:ascii="Times New Roman" w:hAnsi="Times New Roman" w:eastAsia="方正仿宋简体" w:cs="Times New Roman"/>
                <w:b/>
                <w:bCs/>
                <w:sz w:val="24"/>
                <w:szCs w:val="24"/>
              </w:rPr>
              <w:t>设备支持定期自检，包含每日、每周自检，可查看自检项目；设备存储能力可保存不少于1000份自检相关记录、不少于500条设备报警事件记录。</w:t>
            </w:r>
          </w:p>
        </w:tc>
      </w:tr>
      <w:tr w14:paraId="69D50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1101B4B4">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6</w:t>
            </w:r>
          </w:p>
        </w:tc>
        <w:tc>
          <w:tcPr>
            <w:tcW w:w="1577" w:type="pct"/>
            <w:noWrap w:val="0"/>
            <w:vAlign w:val="center"/>
          </w:tcPr>
          <w:p w14:paraId="5C4771F6">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肺功能检测仪</w:t>
            </w:r>
          </w:p>
        </w:tc>
        <w:tc>
          <w:tcPr>
            <w:tcW w:w="3014" w:type="pct"/>
            <w:noWrap w:val="0"/>
            <w:vAlign w:val="top"/>
          </w:tcPr>
          <w:p w14:paraId="5FFA0327">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1、检测模式：设备需支持多种常规肺功能检测模式，包含VC肺活量检测、MVV最大通气量检测、MV静息通气量检测、FVC用力肺活量检测。</w:t>
            </w:r>
          </w:p>
          <w:p w14:paraId="23A03B5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2、容量检测性能：设备容量检测范围为0L～10L，检测误差允许值不大于±3%或±0.05L，以误差最大值为准。</w:t>
            </w:r>
          </w:p>
          <w:p w14:paraId="036B1F02">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3、检测传感技术：设备采用压差式流量传感技术，保障检测数据精准稳定。</w:t>
            </w:r>
          </w:p>
          <w:p w14:paraId="0439BFA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4、采样手柄配置：检测手柄支持与主机分离式设计，可适配浸泡式消毒方式，满足医用卫生消杀要求。</w:t>
            </w:r>
          </w:p>
          <w:p w14:paraId="513334C0">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5、主机显示配置：主机配备电容触控显示屏，屏幕尺寸不小于8英寸，操作便捷、显示清晰。</w:t>
            </w:r>
          </w:p>
          <w:p w14:paraId="25E2BC30">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6、报告打印功能：设备内置热敏打印模块，可完整打印全部检测数据及检测曲线图谱。</w:t>
            </w:r>
          </w:p>
          <w:p w14:paraId="6192A9E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7、系统对接能力：设备具备开放接口协议，可适配对接医院HIS、LIS等各类医疗信息管理系统，实现数据互联互通。</w:t>
            </w:r>
          </w:p>
          <w:p w14:paraId="6C9EBA1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8、数据存储能力：主机本地存储空间可存储不少于1000条患者历史检测记录，支持数据追溯查询。</w:t>
            </w:r>
          </w:p>
          <w:p w14:paraId="0858A31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9、外接显示配置：配套外接显示设备，显示屏尺寸不小于24英寸，满足高清显示、操作观测需求。</w:t>
            </w:r>
          </w:p>
          <w:p w14:paraId="5331AC13">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10、设备台车材质：配套设备台车采用ABS材质，具备耐腐蚀、易清洁、耐用的特性。</w:t>
            </w:r>
          </w:p>
          <w:p w14:paraId="0E12F1D2">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11、气流阻力参数：设备在全测量范围内，整体气流阻力不超过0.35kPa/（L/s），保障检测精准度。</w:t>
            </w:r>
          </w:p>
          <w:p w14:paraId="1AE4855E">
            <w:pPr>
              <w:keepNext w:val="0"/>
              <w:keepLines w:val="0"/>
              <w:widowControl/>
              <w:suppressLineNumbers w:val="0"/>
              <w:jc w:val="left"/>
              <w:rPr>
                <w:rFonts w:hint="default" w:ascii="Times New Roman" w:hAnsi="Times New Roman" w:eastAsia="方正仿宋简体" w:cs="Times New Roman"/>
                <w:b/>
                <w:bCs/>
                <w:kern w:val="0"/>
                <w:sz w:val="24"/>
                <w:szCs w:val="24"/>
                <w:lang w:val="en-US" w:eastAsia="zh-CN" w:bidi="ar"/>
              </w:rPr>
            </w:pPr>
            <w:r>
              <w:rPr>
                <w:rFonts w:hint="default" w:ascii="Times New Roman" w:hAnsi="Times New Roman" w:eastAsia="方正仿宋简体" w:cs="Times New Roman"/>
                <w:b/>
                <w:bCs/>
                <w:kern w:val="0"/>
                <w:sz w:val="24"/>
                <w:szCs w:val="24"/>
                <w:lang w:val="en-US" w:eastAsia="zh-CN" w:bidi="ar"/>
              </w:rPr>
              <w:t>12、流量检测性能：设备流量检测范围为0L/s～14L/s，检测误差允许值不大于±5%或±0.17L/s，以误差最大值为准。</w:t>
            </w:r>
          </w:p>
          <w:p w14:paraId="134DD97E">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13、频率响应性能：设备检测频率响应误差不超过0.25L/s或12%，保障动态检测数据准确性。</w:t>
            </w:r>
          </w:p>
        </w:tc>
      </w:tr>
      <w:tr w14:paraId="41757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1B108CFA">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7</w:t>
            </w:r>
          </w:p>
        </w:tc>
        <w:tc>
          <w:tcPr>
            <w:tcW w:w="1577" w:type="pct"/>
            <w:noWrap w:val="0"/>
            <w:vAlign w:val="center"/>
          </w:tcPr>
          <w:p w14:paraId="3795AF0C">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母乳分析仪</w:t>
            </w:r>
          </w:p>
        </w:tc>
        <w:tc>
          <w:tcPr>
            <w:tcW w:w="3014" w:type="pct"/>
            <w:noWrap w:val="0"/>
            <w:vAlign w:val="top"/>
          </w:tcPr>
          <w:p w14:paraId="72E956E7">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1、检测项目：设备可检测脂肪、蛋白质、乳糖、密度、水分、能量、矿物质、锌、铁、钙等多项母乳核心营养指标。</w:t>
            </w:r>
          </w:p>
          <w:p w14:paraId="651377D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2、检测技术：采用红外光谱分析技术开展母乳成分检测分析，保障检测数据稳定性。</w:t>
            </w:r>
          </w:p>
          <w:p w14:paraId="2AABE89C">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3、适用检测样本：可适配初乳、过渡乳、成熟乳、晚乳等不同阶段母乳样本检测。</w:t>
            </w:r>
          </w:p>
          <w:p w14:paraId="66789C9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4、综合分析系统功能：具备智能化综合分析能力，可实现精准营养分析，提供科学的辅食添加指导、乳母代谢调理及营养膳食指导；可自动生成多项标准化临床报告，包含母乳成分分析报告、母乳质量改善膳食指导报告、七天营养配餐食谱报告、儿童营养状况分析报告、儿童体格发育评价报告、儿童喂养行为调查报告等，全面满足临床检测及指导使用需求。</w:t>
            </w:r>
          </w:p>
          <w:p w14:paraId="1E6B1399">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5、检测重复性性能：设备检测重复性精度≥99%，绝对值重复性精度≥99%，检测数据稳定可靠。</w:t>
            </w:r>
          </w:p>
          <w:p w14:paraId="575666BF">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6、检测样本工位：配置单检测工位，单次可完成单人母乳样本全套检测。</w:t>
            </w:r>
          </w:p>
          <w:p w14:paraId="7FAC538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7、检测操作流程：支持全自动一键式检测，操作流程简便，检测完成后无需人工清洗、排空设备，简化操作流程。</w:t>
            </w:r>
          </w:p>
          <w:p w14:paraId="7535F05F">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8、检测模式：支持单人样本十项指标同步并行检测，大幅提升检测效率。</w:t>
            </w:r>
          </w:p>
          <w:p w14:paraId="360851DD">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9、数据管理功能：系统支持检测数据多条件检索、信息编辑、数据导出等常态化数据管理操作，实现检测数据规范化留存与管理。</w:t>
            </w:r>
          </w:p>
          <w:p w14:paraId="30F1C85B">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10、数据统计功能：支持多维度数据分类统计，可针对产妇哺乳阶段、年龄、身高、体重等信息，以及婴儿月龄、性别、体重等基础信息，结合乳汁各项检测数据进行分类汇总、统计分析。</w:t>
            </w:r>
          </w:p>
          <w:p w14:paraId="2709ED09">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11、样本用量：设备检测最小样本需求量≤0.3ml，微量样本即可完成全套检测。</w:t>
            </w:r>
          </w:p>
          <w:p w14:paraId="62792CD5">
            <w:pPr>
              <w:keepNext w:val="0"/>
              <w:keepLines w:val="0"/>
              <w:widowControl/>
              <w:suppressLineNumbers w:val="0"/>
              <w:jc w:val="left"/>
              <w:rPr>
                <w:rFonts w:hint="default" w:ascii="Times New Roman" w:hAnsi="Times New Roman" w:eastAsia="方正仿宋简体" w:cs="Times New Roman"/>
                <w:b/>
                <w:bCs/>
                <w:kern w:val="0"/>
                <w:sz w:val="24"/>
                <w:szCs w:val="24"/>
                <w:lang w:val="en-US" w:eastAsia="zh-CN" w:bidi="ar"/>
              </w:rPr>
            </w:pPr>
            <w:r>
              <w:rPr>
                <w:rFonts w:hint="default" w:ascii="Times New Roman" w:hAnsi="Times New Roman" w:eastAsia="方正仿宋简体" w:cs="Times New Roman"/>
                <w:b/>
                <w:bCs/>
                <w:kern w:val="0"/>
                <w:sz w:val="24"/>
                <w:szCs w:val="24"/>
                <w:lang w:val="en-US" w:eastAsia="zh-CN" w:bidi="ar"/>
              </w:rPr>
              <w:t>12、报告输出功能：支持输出A4规格中文标准化检测报告单，可自动分析样本检测数据，生成对应的个性化营养指导建议，支持报告实时预览、打印输出。</w:t>
            </w:r>
          </w:p>
        </w:tc>
      </w:tr>
      <w:tr w14:paraId="205ED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8" w:type="pct"/>
            <w:noWrap w:val="0"/>
            <w:vAlign w:val="center"/>
          </w:tcPr>
          <w:p w14:paraId="59F46A6C">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8</w:t>
            </w:r>
          </w:p>
        </w:tc>
        <w:tc>
          <w:tcPr>
            <w:tcW w:w="1577" w:type="pct"/>
            <w:noWrap w:val="0"/>
            <w:vAlign w:val="center"/>
          </w:tcPr>
          <w:p w14:paraId="5BC1B845">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骨密度分析仪</w:t>
            </w:r>
          </w:p>
        </w:tc>
        <w:tc>
          <w:tcPr>
            <w:tcW w:w="3014" w:type="pct"/>
            <w:noWrap w:val="0"/>
            <w:vAlign w:val="top"/>
          </w:tcPr>
          <w:p w14:paraId="7F75C2A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1、超声探头参数：设备超声工作主频≥0.5MHZ，超声探头中心工作频率≥1.25MHZ。</w:t>
            </w:r>
          </w:p>
          <w:p w14:paraId="05BC0006">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2、检测准确度：设备检测RMS CV值控制在0.35±0.05范围内。</w:t>
            </w:r>
          </w:p>
          <w:p w14:paraId="499F66D1">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3、探头精度：探头检测精度误差≤0.25%。</w:t>
            </w:r>
          </w:p>
          <w:p w14:paraId="1B18E7C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4、检测技术性能：设备采用轴向超声波传导检测方式，具备双通道发射、双通道接收检测能力，可自动规避、消除软组织对检测结果的干扰；单次检测可采集有效检测数据≥35000组，整体设备性能符合相关生物学使用标准及要求。</w:t>
            </w:r>
          </w:p>
          <w:p w14:paraId="1423603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5、探头定位功能：设备具备探头位置实时监测反馈功能，可智能提示探头摆放角度偏差，辅助修正检测位置，保障检测精度。</w:t>
            </w:r>
          </w:p>
          <w:p w14:paraId="388323B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6、脉冲发射频率：设备脉冲发射频率范围覆盖100Hz~3000Hz。</w:t>
            </w:r>
          </w:p>
          <w:p w14:paraId="17BC46BA">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7、声速测量范围：设备声速有效测量范围为2300m/s～4700m/s。</w:t>
            </w:r>
          </w:p>
          <w:p w14:paraId="754F5F59">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8、设备校验配置：配套专用设备校验装置，自带温度指示功能，可在检测前完成设备校准，保障检测数据精准可靠。</w:t>
            </w:r>
          </w:p>
          <w:p w14:paraId="027124F1">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9、设备移动性能：整机具备便捷移动能力，可实现多方向平稳挪动，适配不同检测场景使用。</w:t>
            </w:r>
          </w:p>
          <w:p w14:paraId="12DFA77C">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10、显示配置：配备≥24英寸高清液晶显示设备，满足清晰可视化操作与数据查看需求。</w:t>
            </w:r>
          </w:p>
          <w:p w14:paraId="7281811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11、打印功能：设备集成内置打印模块，可自主完成检测报告打印输出。</w:t>
            </w:r>
          </w:p>
          <w:p w14:paraId="61445688">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12、安全规范：设备符合GB9706.1、GB9706.9、GB9706.15医用电气设备相关安全标准，设备安全分类为I类BF型。</w:t>
            </w:r>
          </w:p>
          <w:p w14:paraId="423537DE">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13、防护等级与运行模式：设备具备IP×7防泼溅防护性能，支持长时间连续稳定运行。</w:t>
            </w:r>
          </w:p>
          <w:p w14:paraId="199B068B">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14、消杀性能：探头前端5mm范围内表面，支持常规医用消毒方式处理，满足医疗清洁消杀要求。</w:t>
            </w:r>
          </w:p>
          <w:p w14:paraId="3D891BDC">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15、主控硬件配置：设备主控主机内存≥4G，固态硬盘容量≥120G，保障设备运行流畅、数据处理高效。</w:t>
            </w:r>
          </w:p>
          <w:p w14:paraId="26008B32">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16、设备接口配置：整机配备网络接口≥2个、USB接口≥4个、COM串口≥2个、高清视频接口≥1个，满足数据传输、外设拓展需求。</w:t>
            </w:r>
          </w:p>
          <w:p w14:paraId="15E14F24">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17、档案管理功能：系统支持建立检测人员电子档案，档案可录入姓名、性别、身高、体重等基础信息，支持档案新增、信息修改、编辑管理。</w:t>
            </w:r>
          </w:p>
          <w:p w14:paraId="06EFE7D5">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18、数据查询功能：系统支持多维度档案查询，可通过电话号码、身份证号等信息快速检索对应检测档案。</w:t>
            </w:r>
          </w:p>
          <w:p w14:paraId="33C99E0C">
            <w:pPr>
              <w:keepNext w:val="0"/>
              <w:keepLines w:val="0"/>
              <w:widowControl/>
              <w:suppressLineNumbers w:val="0"/>
              <w:jc w:val="left"/>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kern w:val="0"/>
                <w:sz w:val="24"/>
                <w:szCs w:val="24"/>
                <w:lang w:val="en-US" w:eastAsia="zh-CN" w:bidi="ar"/>
              </w:rPr>
              <w:t>19、数据管理功能：支持检测数据实时查看、在线编辑、数据导出及备份存储，保障数据可追溯。</w:t>
            </w:r>
          </w:p>
          <w:p w14:paraId="7F33C588">
            <w:pPr>
              <w:keepNext w:val="0"/>
              <w:keepLines w:val="0"/>
              <w:widowControl/>
              <w:suppressLineNumbers w:val="0"/>
              <w:jc w:val="left"/>
              <w:rPr>
                <w:rFonts w:hint="default" w:ascii="Times New Roman" w:hAnsi="Times New Roman" w:eastAsia="方正仿宋简体" w:cs="Times New Roman"/>
                <w:b/>
                <w:bCs/>
                <w:kern w:val="0"/>
                <w:sz w:val="24"/>
                <w:szCs w:val="24"/>
                <w:lang w:val="en-US" w:eastAsia="zh-CN" w:bidi="ar"/>
              </w:rPr>
            </w:pPr>
            <w:r>
              <w:rPr>
                <w:rFonts w:hint="default" w:ascii="Times New Roman" w:hAnsi="Times New Roman" w:eastAsia="方正仿宋简体" w:cs="Times New Roman"/>
                <w:b/>
                <w:bCs/>
                <w:kern w:val="0"/>
                <w:sz w:val="24"/>
                <w:szCs w:val="24"/>
                <w:lang w:val="en-US" w:eastAsia="zh-CN" w:bidi="ar"/>
              </w:rPr>
              <w:t>20、报告输出功能：设备可自动生成、输出标准骨密度检测报告单。</w:t>
            </w:r>
          </w:p>
        </w:tc>
      </w:tr>
    </w:tbl>
    <w:p w14:paraId="51A8F91E">
      <w:pPr>
        <w:rPr>
          <w:rFonts w:hint="default" w:ascii="Times New Roman" w:hAnsi="Times New Roman" w:eastAsia="方正仿宋简体" w:cs="Times New Roman"/>
          <w:b/>
          <w:bCs/>
          <w:color w:val="auto"/>
          <w:kern w:val="2"/>
          <w:sz w:val="32"/>
          <w:szCs w:val="32"/>
          <w:highlight w:val="none"/>
          <w:lang w:val="en-US" w:eastAsia="zh-CN" w:bidi="ar-SA"/>
        </w:rPr>
      </w:pPr>
    </w:p>
    <w:p w14:paraId="2455AF47">
      <w:pPr>
        <w:rPr>
          <w:rFonts w:hint="default" w:ascii="Times New Roman" w:hAnsi="Times New Roman" w:eastAsia="方正仿宋简体" w:cs="Times New Roman"/>
          <w:b/>
          <w:bCs/>
          <w:color w:val="auto"/>
          <w:kern w:val="2"/>
          <w:sz w:val="32"/>
          <w:szCs w:val="32"/>
          <w:highlight w:val="none"/>
          <w:lang w:val="en-US" w:eastAsia="zh-CN" w:bidi="ar-SA"/>
        </w:rPr>
      </w:pPr>
    </w:p>
    <w:p w14:paraId="51123002">
      <w:pPr>
        <w:rPr>
          <w:rFonts w:hint="default" w:ascii="Times New Roman" w:hAnsi="Times New Roman" w:eastAsia="方正仿宋简体" w:cs="Times New Roman"/>
          <w:b/>
          <w:bCs/>
          <w:color w:val="auto"/>
          <w:kern w:val="2"/>
          <w:sz w:val="32"/>
          <w:szCs w:val="32"/>
          <w:highlight w:val="none"/>
          <w:lang w:val="en-US" w:eastAsia="zh-CN" w:bidi="ar-SA"/>
        </w:rPr>
      </w:pPr>
    </w:p>
    <w:p w14:paraId="273EADC2">
      <w:pPr>
        <w:rPr>
          <w:rFonts w:hint="default" w:ascii="Times New Roman" w:hAnsi="Times New Roman" w:eastAsia="方正仿宋简体" w:cs="Times New Roman"/>
          <w:b/>
          <w:bCs/>
          <w:color w:val="auto"/>
          <w:kern w:val="2"/>
          <w:sz w:val="32"/>
          <w:szCs w:val="32"/>
          <w:highlight w:val="none"/>
          <w:lang w:val="en-US" w:eastAsia="zh-CN" w:bidi="ar-SA"/>
        </w:rPr>
      </w:pPr>
    </w:p>
    <w:p w14:paraId="563558CF">
      <w:pPr>
        <w:rPr>
          <w:rFonts w:hint="default" w:ascii="Times New Roman" w:hAnsi="Times New Roman" w:eastAsia="方正仿宋简体" w:cs="Times New Roman"/>
          <w:b/>
          <w:bCs/>
          <w:color w:val="auto"/>
          <w:kern w:val="2"/>
          <w:sz w:val="32"/>
          <w:szCs w:val="32"/>
          <w:highlight w:val="none"/>
          <w:lang w:val="en-US" w:eastAsia="zh-CN" w:bidi="ar-SA"/>
        </w:rPr>
      </w:pPr>
    </w:p>
    <w:p w14:paraId="62B2A927">
      <w:pPr>
        <w:rPr>
          <w:rFonts w:hint="default" w:ascii="Times New Roman" w:hAnsi="Times New Roman" w:eastAsia="方正仿宋简体" w:cs="Times New Roman"/>
          <w:b/>
          <w:bCs/>
          <w:color w:val="auto"/>
          <w:kern w:val="2"/>
          <w:sz w:val="32"/>
          <w:szCs w:val="32"/>
          <w:highlight w:val="none"/>
          <w:lang w:val="en-US" w:eastAsia="zh-CN" w:bidi="ar-SA"/>
        </w:rPr>
      </w:pPr>
    </w:p>
    <w:p w14:paraId="08597A82">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2CF375D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3F67D50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22FC82D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2F92805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关于县妇幼保健计划生育服务中心托育医育融合设备采购项目</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5EEE924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220FE42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1BF9909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0F2203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B396718">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5938AB0D">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42326B1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52BFAEAB">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0E9980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38DDB46">
      <w:pPr>
        <w:rPr>
          <w:rFonts w:hint="eastAsia" w:ascii="方正仿宋简体" w:hAnsi="方正仿宋简体" w:eastAsia="方正仿宋简体" w:cs="方正仿宋简体"/>
          <w:b/>
          <w:bCs/>
          <w:color w:val="auto"/>
          <w:kern w:val="2"/>
          <w:sz w:val="32"/>
          <w:szCs w:val="32"/>
          <w:highlight w:val="none"/>
          <w:lang w:val="en-US" w:eastAsia="zh-CN" w:bidi="ar-SA"/>
        </w:rPr>
      </w:pPr>
    </w:p>
    <w:p w14:paraId="56B74292">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3168C250">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4490DDBD">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51EB33F7">
      <w:pPr>
        <w:pStyle w:val="12"/>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39336F4F">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430C444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4CC37CA8">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2F87E990">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2DE2FA81">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067CA9EE">
      <w:pPr>
        <w:pStyle w:val="12"/>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23E129A0">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151C444">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63C1F679">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25E72B5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3DA3EAEF">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023E511B">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E458DEE0-7FAF-41E6-83DF-C22D42A4A7A2}"/>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B805991B-D082-4879-AE92-689288B47E9F}"/>
  </w:font>
  <w:font w:name="方正小标宋简体">
    <w:panose1 w:val="02000000000000000000"/>
    <w:charset w:val="86"/>
    <w:family w:val="auto"/>
    <w:pitch w:val="default"/>
    <w:sig w:usb0="00000001" w:usb1="08000000" w:usb2="00000000" w:usb3="00000000" w:csb0="00040000" w:csb1="00000000"/>
    <w:embedRegular r:id="rId3" w:fontKey="{979AC137-4E7A-4DED-953D-15F350D6BC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509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1DB4CC">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2A1DB4CC">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B599">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CD0796F4"/>
    <w:multiLevelType w:val="singleLevel"/>
    <w:tmpl w:val="CD0796F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3734B"/>
    <w:rsid w:val="45137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styleId="3">
    <w:name w:val="Date"/>
    <w:basedOn w:val="1"/>
    <w:next w:val="1"/>
    <w:qFormat/>
    <w:uiPriority w:val="0"/>
    <w:rPr>
      <w:color w:val="000000"/>
      <w:kern w:val="0"/>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1">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2">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2026-09-07T00:47:00Z</dcterms:created>
  <dc:creator>啊</dc:creator>
  <cp:lastModifiedBy>啊</cp:lastModifiedBy>
  <dcterms:modified xsi:type="dcterms:W3CDTF">2026-09-07T00:47:14Z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E3C6CF6EF00048E992F88CED0A796C48_11</vt:lpwstr>
  </property>
  <property fmtid="{D5CDD505-2E9C-101B-9397-08002B2CF9AE}" pid="4" name="KSOTemplateDocerSaveRecord">
    <vt:lpwstr>eyJoZGlkIjoiYWQ3ZWYxOGJiOWQzZTc2N2ZhZTQxZWRlMzNiY2VmODQiLCJ1c2VySWQiOiI0NTg5NTQ3MDQifQ==</vt:lpwstr>
  </property>
</Properties>
</file>