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B48F1">
      <w:pPr>
        <w:keepNext w:val="0"/>
        <w:keepLines w:val="0"/>
        <w:pageBreakBefore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eastAsia" w:ascii="Times New Roman" w:hAnsi="Times New Roman" w:eastAsia="方正仿宋简体" w:cs="Times New Roman"/>
          <w:b/>
          <w:bCs/>
          <w:color w:val="auto"/>
          <w:sz w:val="32"/>
          <w:szCs w:val="32"/>
          <w:highlight w:val="none"/>
          <w:lang w:val="en-US" w:eastAsia="zh-CN"/>
        </w:rPr>
        <w:t>附件1</w:t>
      </w:r>
    </w:p>
    <w:p w14:paraId="0BD4DF7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参加本次市场调研前的信用记录未列入失信执行人名单、重大税收违法案件当事人名单，无政府采购严重违法失信等行为的承诺函</w:t>
      </w:r>
    </w:p>
    <w:p w14:paraId="7767F3A1">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7D997459">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3C83E8FD">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u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auto"/>
          <w:kern w:val="2"/>
          <w:sz w:val="32"/>
          <w:szCs w:val="32"/>
          <w:highlight w:val="none"/>
          <w:lang w:val="en-US" w:eastAsia="zh-CN" w:bidi="ar-SA"/>
        </w:rPr>
        <w:t>参加</w:t>
      </w:r>
      <w:r>
        <w:rPr>
          <w:rFonts w:hint="default" w:ascii="Times New Roman" w:hAnsi="Times New Roman" w:eastAsia="方正仿宋简体" w:cs="Times New Roman"/>
          <w:b/>
          <w:bCs/>
          <w:i w:val="0"/>
          <w:iCs w:val="0"/>
          <w:caps w:val="0"/>
          <w:color w:val="auto"/>
          <w:spacing w:val="0"/>
          <w:kern w:val="0"/>
          <w:sz w:val="32"/>
          <w:szCs w:val="32"/>
          <w:highlight w:val="none"/>
          <w:u w:val="none"/>
          <w:lang w:val="en-US" w:eastAsia="zh-CN" w:bidi="ar"/>
        </w:rPr>
        <w:t>威远县紧密型县域医共体管理委员会</w:t>
      </w:r>
      <w:r>
        <w:rPr>
          <w:rFonts w:hint="eastAsia" w:ascii="方正仿宋简体" w:hAnsi="方正仿宋简体" w:eastAsia="方正仿宋简体" w:cs="方正仿宋简体"/>
          <w:b/>
          <w:bCs/>
          <w:color w:val="auto"/>
          <w:kern w:val="2"/>
          <w:sz w:val="32"/>
          <w:szCs w:val="32"/>
          <w:highlight w:val="none"/>
          <w:u w:val="single"/>
          <w:lang w:val="en-US" w:eastAsia="zh-CN" w:bidi="ar-SA"/>
        </w:rPr>
        <w:t>关于威远县妇幼保健计划生育服务中心采购《威远县生育服务能力提升项目》医疗设备咨询服务费预算</w:t>
      </w:r>
      <w:r>
        <w:rPr>
          <w:rFonts w:hint="eastAsia" w:ascii="Times New Roman" w:hAnsi="Times New Roman" w:eastAsia="方正仿宋简体" w:cs="Times New Roman"/>
          <w:b/>
          <w:bCs/>
          <w:i w:val="0"/>
          <w:iCs w:val="0"/>
          <w:caps w:val="0"/>
          <w:color w:val="auto"/>
          <w:spacing w:val="0"/>
          <w:sz w:val="32"/>
          <w:szCs w:val="32"/>
          <w:highlight w:val="none"/>
          <w:u w:val="single"/>
          <w:lang w:val="en-US" w:eastAsia="zh-CN"/>
        </w:rPr>
        <w:t>价</w:t>
      </w:r>
      <w:r>
        <w:rPr>
          <w:rFonts w:hint="eastAsia" w:ascii="方正仿宋简体" w:hAnsi="方正仿宋简体" w:eastAsia="方正仿宋简体" w:cs="方正仿宋简体"/>
          <w:b/>
          <w:bCs/>
          <w:color w:val="auto"/>
          <w:kern w:val="2"/>
          <w:sz w:val="32"/>
          <w:szCs w:val="32"/>
          <w:highlight w:val="none"/>
          <w:u w:val="none"/>
          <w:lang w:val="en-US" w:eastAsia="zh-CN" w:bidi="ar-SA"/>
        </w:rPr>
        <w:t>的调研活动，现承诺我公司在参加本次市场调研前的信用记录未列入失信执行人名单、重大税收违法案件当事人名单，无政府采购严重违法失信等行为。</w:t>
      </w:r>
    </w:p>
    <w:p w14:paraId="4E85C548">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2235FC9">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71418FB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68C02C54">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26B843E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 应 商 名 称（加盖公章）：</w:t>
      </w:r>
    </w:p>
    <w:p w14:paraId="1DECB362">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7A23A55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27A09685">
      <w:pPr>
        <w:jc w:val="both"/>
        <w:rPr>
          <w:rFonts w:hint="default" w:ascii="Times New Roman" w:hAnsi="Times New Roman" w:eastAsia="方正仿宋简体" w:cs="Times New Roman"/>
          <w:b/>
          <w:bCs/>
          <w:color w:val="auto"/>
          <w:kern w:val="2"/>
          <w:sz w:val="32"/>
          <w:szCs w:val="32"/>
          <w:highlight w:val="none"/>
          <w:lang w:val="en-US" w:eastAsia="zh-CN" w:bidi="ar-SA"/>
        </w:rPr>
      </w:pPr>
    </w:p>
    <w:p w14:paraId="7AD62C47">
      <w:pPr>
        <w:jc w:val="both"/>
        <w:rPr>
          <w:rFonts w:hint="default" w:ascii="Times New Roman" w:hAnsi="Times New Roman" w:eastAsia="方正仿宋简体" w:cs="Times New Roman"/>
          <w:b/>
          <w:bCs/>
          <w:color w:val="auto"/>
          <w:kern w:val="2"/>
          <w:sz w:val="32"/>
          <w:szCs w:val="32"/>
          <w:highlight w:val="none"/>
          <w:lang w:val="en-US" w:eastAsia="zh-CN" w:bidi="ar-SA"/>
        </w:rPr>
      </w:pPr>
    </w:p>
    <w:p w14:paraId="563785D0">
      <w:pPr>
        <w:jc w:val="both"/>
        <w:rPr>
          <w:rFonts w:hint="default" w:ascii="Times New Roman" w:hAnsi="Times New Roman" w:eastAsia="方正仿宋简体" w:cs="Times New Roman"/>
          <w:b/>
          <w:bCs/>
          <w:color w:val="auto"/>
          <w:kern w:val="2"/>
          <w:sz w:val="32"/>
          <w:szCs w:val="32"/>
          <w:highlight w:val="none"/>
          <w:lang w:val="en-US" w:eastAsia="zh-CN" w:bidi="ar-SA"/>
        </w:rPr>
      </w:pPr>
    </w:p>
    <w:p w14:paraId="369FCD94">
      <w:pPr>
        <w:jc w:val="both"/>
        <w:rPr>
          <w:rFonts w:hint="default" w:ascii="方正小标宋简体" w:hAnsi="方正小标宋简体" w:eastAsia="方正小标宋简体" w:cs="方正小标宋简体"/>
          <w:b/>
          <w:bCs/>
          <w:color w:val="auto"/>
          <w:kern w:val="2"/>
          <w:sz w:val="44"/>
          <w:szCs w:val="44"/>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附件</w:t>
      </w:r>
      <w:r>
        <w:rPr>
          <w:rFonts w:hint="eastAsia" w:ascii="Times New Roman" w:hAnsi="Times New Roman" w:eastAsia="方正仿宋简体" w:cs="Times New Roman"/>
          <w:b/>
          <w:bCs/>
          <w:color w:val="auto"/>
          <w:kern w:val="2"/>
          <w:sz w:val="32"/>
          <w:szCs w:val="32"/>
          <w:highlight w:val="none"/>
          <w:lang w:val="en-US" w:eastAsia="zh-CN" w:bidi="ar-SA"/>
        </w:rPr>
        <w:t>2</w:t>
      </w:r>
    </w:p>
    <w:p w14:paraId="281108BF">
      <w:pPr>
        <w:jc w:val="center"/>
        <w:rPr>
          <w:rFonts w:hint="default" w:ascii="Times New Roman" w:hAnsi="Times New Roman" w:eastAsia="方正仿宋简体" w:cs="Times New Roman"/>
          <w:b/>
          <w:bCs/>
          <w:color w:val="auto"/>
          <w:sz w:val="32"/>
          <w:szCs w:val="32"/>
          <w:highlight w:val="none"/>
          <w:lang w:val="en-US" w:eastAsia="zh-CN"/>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690E4ABF">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626D774">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03912889">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eastAsia" w:ascii="Times New Roman" w:hAnsi="Times New Roman" w:eastAsia="方正仿宋简体" w:cs="Times New Roman"/>
          <w:b/>
          <w:bCs/>
          <w:color w:val="auto"/>
          <w:sz w:val="32"/>
          <w:szCs w:val="32"/>
          <w:highlight w:val="none"/>
          <w:lang w:val="en-US" w:eastAsia="zh-CN"/>
        </w:rPr>
        <w:t xml:space="preserve">    </w:t>
      </w:r>
      <w:r>
        <w:rPr>
          <w:rFonts w:hint="default" w:ascii="Times New Roman" w:hAnsi="Times New Roman" w:eastAsia="方正仿宋简体" w:cs="Times New Roman"/>
          <w:b/>
          <w:bCs/>
          <w:color w:val="auto"/>
          <w:sz w:val="32"/>
          <w:szCs w:val="32"/>
          <w:highlight w:val="none"/>
        </w:rPr>
        <w:t>（二）具有良好的商业信誉和健全的财务会计制度；</w:t>
      </w:r>
    </w:p>
    <w:p w14:paraId="2E86E42C">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（三）具有履行合同所必需的设备和专业技术能力； </w:t>
      </w:r>
    </w:p>
    <w:p w14:paraId="6D0B380C">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 xml:space="preserve">四）有依法缴纳税收和社会保障资金的良好记录； </w:t>
      </w:r>
    </w:p>
    <w:p w14:paraId="03850605">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2D019EF3">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2DB4B5B2">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61BA8603">
      <w:pPr>
        <w:keepNext w:val="0"/>
        <w:keepLines w:val="0"/>
        <w:pageBreakBefore w:val="0"/>
        <w:kinsoku/>
        <w:wordWrap/>
        <w:overflowPunct/>
        <w:topLinePunct w:val="0"/>
        <w:autoSpaceDE/>
        <w:autoSpaceDN/>
        <w:bidi w:val="0"/>
        <w:adjustRightInd/>
        <w:snapToGrid/>
        <w:spacing w:line="580" w:lineRule="exact"/>
        <w:textAlignment w:val="auto"/>
        <w:rPr>
          <w:rFonts w:hint="eastAsia" w:ascii="Times New Roman" w:hAnsi="Times New Roman" w:eastAsia="方正仿宋简体" w:cs="Times New Roman"/>
          <w:b/>
          <w:bCs/>
          <w:color w:val="auto"/>
          <w:sz w:val="32"/>
          <w:szCs w:val="32"/>
          <w:highlight w:val="none"/>
          <w:lang w:val="en-US" w:eastAsia="zh-CN"/>
        </w:rPr>
      </w:pPr>
    </w:p>
    <w:p w14:paraId="74C376E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60366D3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7FE706EE">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06D50A4E">
      <w:pPr>
        <w:pStyle w:val="2"/>
        <w:rPr>
          <w:rFonts w:hint="eastAsia" w:ascii="方正仿宋简体" w:hAnsi="方正仿宋简体" w:eastAsia="方正仿宋简体" w:cs="方正仿宋简体"/>
          <w:b/>
          <w:bCs/>
          <w:color w:val="auto"/>
          <w:kern w:val="2"/>
          <w:sz w:val="32"/>
          <w:szCs w:val="32"/>
          <w:highlight w:val="none"/>
          <w:lang w:val="en-US" w:eastAsia="zh-CN" w:bidi="ar-SA"/>
        </w:rPr>
      </w:pPr>
    </w:p>
    <w:p w14:paraId="208B3BF0">
      <w:pPr>
        <w:pStyle w:val="2"/>
        <w:rPr>
          <w:rFonts w:hint="default" w:ascii="Times New Roman" w:hAnsi="Times New Roman" w:eastAsia="方正仿宋简体" w:cs="Times New Roman"/>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附件</w:t>
      </w:r>
      <w:r>
        <w:rPr>
          <w:rFonts w:hint="default" w:ascii="Times New Roman" w:hAnsi="Times New Roman" w:eastAsia="方正仿宋简体" w:cs="Times New Roman"/>
          <w:b/>
          <w:bCs/>
          <w:color w:val="auto"/>
          <w:kern w:val="2"/>
          <w:sz w:val="32"/>
          <w:szCs w:val="32"/>
          <w:highlight w:val="none"/>
          <w:lang w:val="en-US" w:eastAsia="zh-CN" w:bidi="ar-SA"/>
        </w:rPr>
        <w:t>3</w:t>
      </w:r>
    </w:p>
    <w:p w14:paraId="727CBD1D">
      <w:pPr>
        <w:adjustRightInd w:val="0"/>
        <w:spacing w:line="360" w:lineRule="auto"/>
        <w:jc w:val="center"/>
        <w:rPr>
          <w:rFonts w:hint="eastAsia" w:ascii="方正小标宋简体" w:hAnsi="方正小标宋简体" w:eastAsia="方正小标宋简体" w:cs="方正小标宋简体"/>
          <w:b/>
          <w:bCs/>
          <w:sz w:val="36"/>
          <w:szCs w:val="36"/>
          <w:lang w:val="en-US" w:eastAsia="zh-CN"/>
        </w:rPr>
      </w:pPr>
      <w:r>
        <w:rPr>
          <w:rFonts w:hint="eastAsia" w:ascii="方正小标宋简体" w:hAnsi="方正小标宋简体" w:eastAsia="方正小标宋简体" w:cs="方正小标宋简体"/>
          <w:b/>
          <w:bCs/>
          <w:i w:val="0"/>
          <w:iCs w:val="0"/>
          <w:caps w:val="0"/>
          <w:color w:val="auto"/>
          <w:spacing w:val="0"/>
          <w:sz w:val="36"/>
          <w:szCs w:val="36"/>
          <w:highlight w:val="none"/>
          <w:lang w:val="en-US" w:eastAsia="zh-CN"/>
        </w:rPr>
        <w:t>威远县妇幼保健计划生育服务中心采购《威远县生育服务能力提升项目》医疗设备技术咨询</w:t>
      </w:r>
      <w:r>
        <w:rPr>
          <w:rFonts w:hint="eastAsia" w:ascii="方正小标宋简体" w:hAnsi="方正小标宋简体" w:eastAsia="方正小标宋简体" w:cs="方正小标宋简体"/>
          <w:b/>
          <w:bCs/>
          <w:sz w:val="36"/>
          <w:szCs w:val="36"/>
          <w:lang w:val="en-US" w:eastAsia="zh-CN"/>
        </w:rPr>
        <w:t>服务及要求</w:t>
      </w:r>
    </w:p>
    <w:p w14:paraId="6C761B6C">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w:t>
      </w:r>
      <w:r>
        <w:rPr>
          <w:rFonts w:hint="eastAsia" w:ascii="Times New Roman" w:hAnsi="Times New Roman" w:eastAsia="方正仿宋简体" w:cs="Times New Roman"/>
          <w:b/>
          <w:bCs/>
          <w:kern w:val="0"/>
          <w:sz w:val="32"/>
          <w:szCs w:val="32"/>
          <w:highlight w:val="none"/>
          <w:lang w:val="en-US" w:eastAsia="zh-CN" w:bidi="ar-SA"/>
        </w:rPr>
        <w:t>咨询</w:t>
      </w:r>
      <w:r>
        <w:rPr>
          <w:rFonts w:hint="default" w:ascii="Times New Roman" w:hAnsi="Times New Roman" w:eastAsia="方正仿宋简体" w:cs="Times New Roman"/>
          <w:b/>
          <w:bCs/>
          <w:kern w:val="0"/>
          <w:sz w:val="32"/>
          <w:szCs w:val="32"/>
          <w:highlight w:val="none"/>
          <w:lang w:val="en-US" w:eastAsia="zh-CN" w:bidi="ar-SA"/>
        </w:rPr>
        <w:t>服务具体内容：</w:t>
      </w:r>
    </w:p>
    <w:p w14:paraId="4252D774">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1.1 项目管理服务范围：医疗器械等相关医疗行业货物及服务等从立项到验收全过程咨询管理服务，咨询范围和服务项目最终由采购人决定；</w:t>
      </w:r>
    </w:p>
    <w:p w14:paraId="496D6DFD">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 xml:space="preserve">1.2 </w:t>
      </w:r>
      <w:r>
        <w:rPr>
          <w:rFonts w:hint="eastAsia" w:ascii="Times New Roman" w:hAnsi="Times New Roman" w:eastAsia="方正仿宋简体" w:cs="Times New Roman"/>
          <w:b/>
          <w:bCs/>
          <w:kern w:val="0"/>
          <w:sz w:val="32"/>
          <w:szCs w:val="32"/>
          <w:highlight w:val="none"/>
          <w:lang w:val="en-US" w:eastAsia="zh-CN" w:bidi="ar-SA"/>
        </w:rPr>
        <w:t>供应商</w:t>
      </w:r>
      <w:r>
        <w:rPr>
          <w:rFonts w:hint="default" w:ascii="Times New Roman" w:hAnsi="Times New Roman" w:eastAsia="方正仿宋简体" w:cs="Times New Roman"/>
          <w:b/>
          <w:bCs/>
          <w:kern w:val="0"/>
          <w:sz w:val="32"/>
          <w:szCs w:val="32"/>
          <w:highlight w:val="none"/>
          <w:lang w:val="en-US" w:eastAsia="zh-CN" w:bidi="ar-SA"/>
        </w:rPr>
        <w:t>根据实际需求进行市场调研，并出具需求调研报告；组织专家及顾问对调研报告进行审查；</w:t>
      </w:r>
    </w:p>
    <w:p w14:paraId="46BBC05D">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1.3 在采购实施过程中给予采购人及采购代理机构提供持续咨询及专业化建议。</w:t>
      </w:r>
    </w:p>
    <w:p w14:paraId="7B0AF378">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1.4 合同履约过程的管理及咨询服务。</w:t>
      </w:r>
    </w:p>
    <w:p w14:paraId="03895440">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1.5 采购人交办其他项目实施咨询服务。</w:t>
      </w:r>
    </w:p>
    <w:p w14:paraId="69FC613C">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1.6 所有报告及市场调研原始资料的备案资料存档不少于15年。</w:t>
      </w:r>
    </w:p>
    <w:p w14:paraId="0617FFDE">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1.7 成交人的工作内容须按照商务条款和服务具体内容执行。</w:t>
      </w:r>
    </w:p>
    <w:p w14:paraId="520CF9B5">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2.其他要求：</w:t>
      </w:r>
    </w:p>
    <w:p w14:paraId="5CC5C3FE">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2.1 成交人为采购人提供的项目管理服务，须严格按照国家法律法规要求执业，同时为采购人提供最新相关政策和业务咨询。</w:t>
      </w:r>
    </w:p>
    <w:p w14:paraId="5210E63F">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2.2 廉洁自律：成交人不得与采购人、供应商恶意串通操纵采购前期需求调研咨询及采购活动。服务机构工作人员不得接受采购人或者有利益关系的供应商组织的宴请、旅游、娱乐，不得收受礼品、现金、有价证券等，不得向采购人或者有利益关系的供应商报销应当由个人承担的费用。除采购活动涉及允许可以收取的相关费用外，服务机构不得再向采购人或供应商收取任何费用。</w:t>
      </w:r>
    </w:p>
    <w:p w14:paraId="2DCD7BEE">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2.3 成交人须严格按照政府采购法律法规和采购人单位内部采购管理制度有关规定为采购人提供采购需求及项目管理相关咨询服务。确保咨询意见及询价结果真实合规，咨询服务过程留痕并完整保留相关资料，协助采购方在相关采购活动中处理质疑投诉举报，质疑投诉举报相关内容涉及咨询服务范畴的，由成交人负责提供相关调研结果的证明材料，协助采购活动的正常履行。配合采购人接受的相关主管部门的审计巡视。独立为咨询成果的有效性，真实性负责。独立承担因不符合政府采购法律法规或程序而造成的一切责任及经济损失。</w:t>
      </w:r>
    </w:p>
    <w:p w14:paraId="1731798F">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2.4 知识产权：</w:t>
      </w:r>
    </w:p>
    <w:p w14:paraId="4B241A15">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2.4.1 知识产权归成交人所有，采购人具有成果使用权，能将成果用于自身采购时使用，或按照法律法规要求调查时提供给相关行政监管单位，除此之外，不得以任何形式将成果给予第三方参阅或使用。</w:t>
      </w:r>
    </w:p>
    <w:p w14:paraId="71638BCA">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2.4.2 成交人应保证在本项目使用的任何产品和服务（包括部分使用）时，不会产生因第三方提出侵犯其专利权、商标权或其它知识产权而引起的法律和经济纠纷，如因专利权、商标权或其它知识产权而引起法律和经济纠纷，由成交承担所有相关责任。如采用成交人所不拥有的知识产权，则在报价中包括合法获取该知识产权的相关费用。</w:t>
      </w:r>
    </w:p>
    <w:p w14:paraId="655A51EF">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2.5 保密责任：未经采购人允许，其为采购人单位所做的咨询服务成果不能以完整形式用于其他商业宣传，其他医院采购同类产品使用相关数据重复使用的除外。</w:t>
      </w:r>
    </w:p>
    <w:p w14:paraId="08136E4B">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2.6 每个项目的咨询成果，原则上必须保证每个单品的市场调研对象不少于3个品牌，推荐的采购产品参数不少于3个市场品牌满足，相关佐证材料须单独留痕存档备查。如不能满足3个品牌满足的技术参数，须阐明临床实际使用价值。特殊情况（如：单一来源等）由采购人和成交人根据项目实际情况协商确定。所有成果均须具有医疗行业中级及以上职称或政府采购评审专家的推荐意见和签字（在咨询成果中提供人员证书复印件）</w:t>
      </w:r>
    </w:p>
    <w:p w14:paraId="58F53106">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2.7 项目服务机构服务团队须24小时（法定节假日除外）接受采购人咨询或工作安排，并随时保持移动电话、QQ、短信、微信或电子邮箱畅通以便于联系。同时应做好通过通讯方式传送资料的保密工作。</w:t>
      </w:r>
    </w:p>
    <w:p w14:paraId="0644A51D">
      <w:pPr>
        <w:autoSpaceDE w:val="0"/>
        <w:autoSpaceDN w:val="0"/>
        <w:adjustRightInd w:val="0"/>
        <w:spacing w:line="360" w:lineRule="auto"/>
        <w:ind w:firstLine="643" w:firstLineChars="200"/>
        <w:jc w:val="left"/>
        <w:rPr>
          <w:rFonts w:hint="eastAsia" w:ascii="宋体" w:hAnsi="宋体" w:cs="宋体"/>
          <w:b/>
          <w:bCs/>
          <w:color w:val="auto"/>
          <w:kern w:val="2"/>
          <w:sz w:val="24"/>
          <w:szCs w:val="24"/>
          <w:highlight w:val="none"/>
          <w:lang w:val="en-US" w:eastAsia="zh-CN" w:bidi="ar-SA"/>
        </w:rPr>
      </w:pPr>
      <w:r>
        <w:rPr>
          <w:rFonts w:hint="eastAsia" w:ascii="方正仿宋简体" w:hAnsi="方正仿宋简体" w:eastAsia="方正仿宋简体" w:cs="方正仿宋简体"/>
          <w:b/>
          <w:bCs/>
          <w:sz w:val="32"/>
          <w:szCs w:val="32"/>
          <w:highlight w:val="none"/>
        </w:rPr>
        <w:t>注：</w:t>
      </w:r>
      <w:r>
        <w:rPr>
          <w:rFonts w:hint="eastAsia" w:ascii="方正仿宋简体" w:hAnsi="方正仿宋简体" w:eastAsia="方正仿宋简体" w:cs="方正仿宋简体"/>
          <w:b/>
          <w:bCs/>
          <w:kern w:val="0"/>
          <w:sz w:val="32"/>
          <w:szCs w:val="32"/>
          <w:highlight w:val="none"/>
          <w:lang w:val="zh-CN"/>
        </w:rPr>
        <w:t>以上技术、服务要求为实质性条款，均不允许负偏离，负偏离视为非实质性响应文件，做无效响应文件处理，须按比选文件要求在技术、服务要求响应表中予以应答。</w:t>
      </w:r>
    </w:p>
    <w:p w14:paraId="69B90351">
      <w:pPr>
        <w:pStyle w:val="2"/>
        <w:rPr>
          <w:rFonts w:hint="eastAsia"/>
          <w:lang w:val="en-US" w:eastAsia="zh-CN"/>
        </w:rPr>
      </w:pPr>
    </w:p>
    <w:p w14:paraId="4D3A5696">
      <w:pPr>
        <w:pStyle w:val="3"/>
        <w:rPr>
          <w:rFonts w:hint="default"/>
          <w:lang w:val="en-US"/>
        </w:rPr>
      </w:pPr>
    </w:p>
    <w:p w14:paraId="1EEE84A7">
      <w:pPr>
        <w:rPr>
          <w:rFonts w:hint="default"/>
          <w:lang w:val="en-US"/>
        </w:rPr>
      </w:pPr>
    </w:p>
    <w:p w14:paraId="0B826CF4">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76785D66">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113AAC08">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503435E4">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42B643BE">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44CBDA52">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151D9475">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5F0AB938">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3223A991">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13633BD5">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5B1AA58B">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55944767">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324DD2BA">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4415BC69">
      <w:pPr>
        <w:keepNext w:val="0"/>
        <w:keepLines w:val="0"/>
        <w:widowControl/>
        <w:suppressLineNumbers w:val="0"/>
        <w:jc w:val="left"/>
        <w:textAlignment w:val="center"/>
        <w:rPr>
          <w:rFonts w:hint="default" w:ascii="Times New Roman" w:hAnsi="Times New Roman" w:eastAsia="方正黑体简体" w:cs="Times New Roman"/>
          <w:b w:val="0"/>
          <w:snapToGrid w:val="0"/>
          <w:color w:val="auto"/>
          <w:spacing w:val="6"/>
          <w:kern w:val="0"/>
          <w:position w:val="1"/>
          <w:sz w:val="32"/>
          <w:szCs w:val="32"/>
          <w:lang w:val="en-US" w:eastAsia="en-US" w:bidi="ar-SA"/>
        </w:rPr>
      </w:pPr>
      <w:r>
        <w:rPr>
          <w:rFonts w:hint="default" w:ascii="Times New Roman" w:hAnsi="Times New Roman" w:eastAsia="黑体" w:cs="Times New Roman"/>
          <w:b/>
          <w:bCs w:val="0"/>
          <w:snapToGrid w:val="0"/>
          <w:color w:val="000000"/>
          <w:kern w:val="0"/>
          <w:sz w:val="32"/>
          <w:szCs w:val="32"/>
          <w:highlight w:val="none"/>
          <w:lang w:val="en-US" w:eastAsia="zh-CN" w:bidi="ar-SA"/>
        </w:rPr>
        <w:t>附件</w:t>
      </w:r>
      <w:r>
        <w:rPr>
          <w:rFonts w:hint="eastAsia" w:ascii="Times New Roman" w:hAnsi="Times New Roman" w:eastAsia="黑体" w:cs="Times New Roman"/>
          <w:b/>
          <w:bCs w:val="0"/>
          <w:snapToGrid w:val="0"/>
          <w:color w:val="000000"/>
          <w:kern w:val="0"/>
          <w:sz w:val="32"/>
          <w:szCs w:val="32"/>
          <w:highlight w:val="none"/>
          <w:lang w:val="en-US" w:eastAsia="zh-CN" w:bidi="ar-SA"/>
        </w:rPr>
        <w:t>4</w:t>
      </w:r>
      <w:r>
        <w:rPr>
          <w:rFonts w:hint="default" w:ascii="Times New Roman" w:hAnsi="Times New Roman" w:eastAsia="黑体" w:cs="Times New Roman"/>
          <w:b/>
          <w:bCs w:val="0"/>
          <w:snapToGrid w:val="0"/>
          <w:color w:val="000000"/>
          <w:kern w:val="0"/>
          <w:sz w:val="32"/>
          <w:szCs w:val="32"/>
          <w:highlight w:val="none"/>
          <w:lang w:val="en-US" w:eastAsia="zh-CN" w:bidi="ar-SA"/>
        </w:rPr>
        <w:t>:</w:t>
      </w:r>
    </w:p>
    <w:p w14:paraId="0BE948E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9"/>
        <w:rPr>
          <w:rFonts w:hint="default" w:ascii="Times New Roman" w:hAnsi="Times New Roman" w:eastAsia="方正小标宋简体" w:cs="Times New Roman"/>
          <w:b/>
          <w:bCs/>
          <w:color w:val="auto"/>
          <w:spacing w:val="5"/>
          <w:sz w:val="44"/>
          <w:szCs w:val="44"/>
          <w:lang w:val="en-US" w:eastAsia="en-US"/>
        </w:rPr>
      </w:pPr>
      <w:r>
        <w:rPr>
          <w:rFonts w:hint="default" w:ascii="Times New Roman" w:hAnsi="Times New Roman" w:eastAsia="方正小标宋简体" w:cs="Times New Roman"/>
          <w:b/>
          <w:bCs/>
          <w:color w:val="auto"/>
          <w:spacing w:val="5"/>
          <w:sz w:val="44"/>
          <w:szCs w:val="44"/>
          <w:lang w:val="en-US" w:eastAsia="zh-CN"/>
        </w:rPr>
        <w:t>威远县妇幼保健计划生育服务中心</w:t>
      </w:r>
      <w:r>
        <w:rPr>
          <w:rFonts w:hint="eastAsia" w:ascii="Times New Roman" w:hAnsi="Times New Roman" w:eastAsia="方正小标宋简体" w:cs="Times New Roman"/>
          <w:b/>
          <w:bCs/>
          <w:color w:val="auto"/>
          <w:spacing w:val="5"/>
          <w:sz w:val="44"/>
          <w:szCs w:val="44"/>
          <w:lang w:val="en-US" w:eastAsia="zh-CN"/>
        </w:rPr>
        <w:t>采购</w:t>
      </w:r>
      <w:r>
        <w:rPr>
          <w:rFonts w:hint="default" w:ascii="Times New Roman" w:hAnsi="Times New Roman" w:eastAsia="方正小标宋简体" w:cs="Times New Roman"/>
          <w:b/>
          <w:bCs/>
          <w:color w:val="auto"/>
          <w:spacing w:val="5"/>
          <w:sz w:val="44"/>
          <w:szCs w:val="44"/>
          <w:lang w:val="en-US" w:eastAsia="zh-CN"/>
        </w:rPr>
        <w:t>《威远县生育服务能力提升项目》</w:t>
      </w:r>
      <w:r>
        <w:rPr>
          <w:rFonts w:hint="eastAsia" w:ascii="Times New Roman" w:hAnsi="Times New Roman" w:eastAsia="方正小标宋简体" w:cs="Times New Roman"/>
          <w:b/>
          <w:bCs/>
          <w:color w:val="auto"/>
          <w:spacing w:val="5"/>
          <w:sz w:val="44"/>
          <w:szCs w:val="44"/>
          <w:lang w:val="en-US" w:eastAsia="zh-CN"/>
        </w:rPr>
        <w:t>医疗设备咨询</w:t>
      </w:r>
      <w:r>
        <w:rPr>
          <w:rFonts w:hint="default" w:ascii="Times New Roman" w:hAnsi="Times New Roman" w:eastAsia="方正小标宋简体" w:cs="Times New Roman"/>
          <w:b/>
          <w:bCs/>
          <w:color w:val="auto"/>
          <w:spacing w:val="5"/>
          <w:sz w:val="44"/>
          <w:szCs w:val="44"/>
          <w:lang w:val="en-US" w:eastAsia="zh-CN"/>
        </w:rPr>
        <w:t>服务</w:t>
      </w:r>
      <w:r>
        <w:rPr>
          <w:rFonts w:hint="default" w:ascii="Times New Roman" w:hAnsi="Times New Roman" w:eastAsia="方正小标宋简体" w:cs="Times New Roman"/>
          <w:b/>
          <w:bCs/>
          <w:color w:val="auto"/>
          <w:spacing w:val="5"/>
          <w:sz w:val="44"/>
          <w:szCs w:val="44"/>
          <w:lang w:val="en-US" w:eastAsia="en-US"/>
        </w:rPr>
        <w:t>报价函</w:t>
      </w:r>
    </w:p>
    <w:p w14:paraId="541035ED">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方正黑体简体" w:cs="Times New Roman"/>
          <w:b w:val="0"/>
          <w:bCs w:val="0"/>
          <w:color w:val="auto"/>
          <w:sz w:val="32"/>
          <w:szCs w:val="32"/>
          <w:u w:val="single"/>
          <w:lang w:val="en-US" w:eastAsia="zh-CN"/>
        </w:rPr>
      </w:pPr>
    </w:p>
    <w:p w14:paraId="4F2094A5">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r>
        <w:rPr>
          <w:rFonts w:hint="default" w:ascii="Times New Roman" w:hAnsi="Times New Roman" w:eastAsia="方正仿宋简体" w:cs="Times New Roman"/>
          <w:b/>
          <w:bCs/>
          <w:color w:val="auto"/>
          <w:sz w:val="32"/>
          <w:szCs w:val="32"/>
          <w:u w:val="single"/>
          <w:lang w:val="en-US" w:eastAsia="zh-CN"/>
        </w:rPr>
        <w:t>威远县紧密型县域医共体管理委员会</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w:t>
      </w:r>
    </w:p>
    <w:p w14:paraId="56D7F902">
      <w:pPr>
        <w:pStyle w:val="2"/>
        <w:keepNext w:val="0"/>
        <w:keepLines w:val="0"/>
        <w:pageBreakBefore w:val="0"/>
        <w:widowControl/>
        <w:kinsoku w:val="0"/>
        <w:wordWrap/>
        <w:overflowPunct/>
        <w:topLinePunct w:val="0"/>
        <w:autoSpaceDE w:val="0"/>
        <w:autoSpaceDN w:val="0"/>
        <w:bidi w:val="0"/>
        <w:adjustRightInd w:val="0"/>
        <w:snapToGrid w:val="0"/>
        <w:spacing w:line="720" w:lineRule="exact"/>
        <w:ind w:firstLine="667" w:firstLineChars="200"/>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ab/>
      </w:r>
      <w:r>
        <w:rPr>
          <w:rFonts w:hint="default" w:ascii="Times New Roman" w:hAnsi="Times New Roman" w:eastAsia="方正仿宋简体" w:cs="Times New Roman"/>
          <w:b/>
          <w:bCs/>
          <w:snapToGrid w:val="0"/>
          <w:color w:val="auto"/>
          <w:spacing w:val="6"/>
          <w:kern w:val="0"/>
          <w:position w:val="1"/>
          <w:sz w:val="32"/>
          <w:szCs w:val="32"/>
          <w:u w:val="single"/>
          <w:lang w:val="en-US" w:eastAsia="zh-CN" w:bidi="ar-SA"/>
        </w:rPr>
        <w:t xml:space="preserve">       </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eastAsia" w:ascii="Times New Roman" w:hAnsi="Times New Roman" w:eastAsia="方正仿宋简体" w:cs="Times New Roman"/>
          <w:b/>
          <w:bCs/>
          <w:snapToGrid w:val="0"/>
          <w:color w:val="auto"/>
          <w:spacing w:val="6"/>
          <w:kern w:val="0"/>
          <w:position w:val="1"/>
          <w:sz w:val="32"/>
          <w:szCs w:val="32"/>
          <w:u w:val="single"/>
          <w:lang w:val="en-US" w:eastAsia="zh-CN"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报价单位名称</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就</w:t>
      </w:r>
      <w:r>
        <w:rPr>
          <w:rFonts w:hint="default" w:ascii="Times New Roman" w:hAnsi="Times New Roman" w:eastAsia="方正仿宋简体" w:cs="Times New Roman"/>
          <w:b/>
          <w:bCs/>
          <w:color w:val="auto"/>
          <w:sz w:val="32"/>
          <w:szCs w:val="32"/>
          <w:u w:val="none"/>
          <w:lang w:val="en-US" w:eastAsia="zh-CN"/>
        </w:rPr>
        <w:t>威远县妇幼保健计划生育服务中心</w:t>
      </w:r>
      <w:r>
        <w:rPr>
          <w:rFonts w:hint="eastAsia" w:ascii="Times New Roman" w:hAnsi="Times New Roman" w:eastAsia="方正仿宋简体" w:cs="Times New Roman"/>
          <w:b/>
          <w:bCs/>
          <w:color w:val="auto"/>
          <w:sz w:val="32"/>
          <w:szCs w:val="32"/>
          <w:u w:val="none"/>
          <w:lang w:val="en-US" w:eastAsia="zh-CN"/>
        </w:rPr>
        <w:t>采购</w:t>
      </w:r>
      <w:r>
        <w:rPr>
          <w:rFonts w:hint="default" w:ascii="Times New Roman" w:hAnsi="Times New Roman" w:eastAsia="方正仿宋简体" w:cs="Times New Roman"/>
          <w:b/>
          <w:bCs/>
          <w:color w:val="auto"/>
          <w:sz w:val="32"/>
          <w:szCs w:val="32"/>
          <w:u w:val="none"/>
          <w:lang w:val="en-US" w:eastAsia="zh-CN"/>
        </w:rPr>
        <w:t>《威远县生育服务能力提升项目》</w:t>
      </w:r>
      <w:r>
        <w:rPr>
          <w:rFonts w:hint="eastAsia" w:ascii="Times New Roman" w:hAnsi="Times New Roman" w:eastAsia="方正仿宋简体" w:cs="Times New Roman"/>
          <w:b/>
          <w:bCs/>
          <w:color w:val="auto"/>
          <w:sz w:val="32"/>
          <w:szCs w:val="32"/>
          <w:u w:val="none"/>
          <w:lang w:val="en-US" w:eastAsia="zh-CN"/>
        </w:rPr>
        <w:t>医疗设备咨询</w:t>
      </w:r>
      <w:r>
        <w:rPr>
          <w:rFonts w:hint="default" w:ascii="Times New Roman" w:hAnsi="Times New Roman" w:eastAsia="方正仿宋简体" w:cs="Times New Roman"/>
          <w:b/>
          <w:bCs/>
          <w:color w:val="auto"/>
          <w:sz w:val="32"/>
          <w:szCs w:val="32"/>
          <w:u w:val="none"/>
          <w:lang w:val="en-US" w:eastAsia="zh-CN"/>
        </w:rPr>
        <w:t>服务</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报价为人民币</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元</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大写：</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元</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w:t>
      </w:r>
    </w:p>
    <w:p w14:paraId="0CEE13D8">
      <w:pPr>
        <w:pStyle w:val="2"/>
        <w:keepNext w:val="0"/>
        <w:keepLines w:val="0"/>
        <w:pageBreakBefore w:val="0"/>
        <w:widowControl/>
        <w:kinsoku w:val="0"/>
        <w:wordWrap/>
        <w:overflowPunct/>
        <w:topLinePunct w:val="0"/>
        <w:autoSpaceDE w:val="0"/>
        <w:autoSpaceDN w:val="0"/>
        <w:bidi w:val="0"/>
        <w:adjustRightInd w:val="0"/>
        <w:snapToGrid w:val="0"/>
        <w:spacing w:line="660" w:lineRule="exact"/>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p>
    <w:p w14:paraId="33243227">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p>
    <w:p w14:paraId="1FABCD54">
      <w:pPr>
        <w:pStyle w:val="2"/>
        <w:keepNext w:val="0"/>
        <w:keepLines w:val="0"/>
        <w:pageBreakBefore w:val="0"/>
        <w:wordWrap/>
        <w:overflowPunct/>
        <w:topLinePunct w:val="0"/>
        <w:bidi w:val="0"/>
        <w:spacing w:line="240" w:lineRule="auto"/>
        <w:jc w:val="both"/>
        <w:rPr>
          <w:rFonts w:hint="eastAsia" w:ascii="Times New Roman" w:hAnsi="Times New Roman" w:eastAsia="方正黑体简体" w:cs="Times New Roman"/>
          <w:b w:val="0"/>
          <w:snapToGrid w:val="0"/>
          <w:color w:val="auto"/>
          <w:spacing w:val="6"/>
          <w:kern w:val="0"/>
          <w:position w:val="1"/>
          <w:sz w:val="32"/>
          <w:szCs w:val="32"/>
          <w:lang w:val="en-US" w:eastAsia="zh-CN" w:bidi="ar-SA"/>
        </w:rPr>
      </w:pPr>
    </w:p>
    <w:p w14:paraId="19E7E521">
      <w:pPr>
        <w:pStyle w:val="2"/>
        <w:keepNext w:val="0"/>
        <w:keepLines w:val="0"/>
        <w:pageBreakBefore w:val="0"/>
        <w:wordWrap/>
        <w:overflowPunct/>
        <w:topLinePunct w:val="0"/>
        <w:bidi w:val="0"/>
        <w:spacing w:line="240" w:lineRule="auto"/>
        <w:jc w:val="both"/>
        <w:rPr>
          <w:rFonts w:hint="eastAsia" w:ascii="Times New Roman" w:hAnsi="Times New Roman" w:eastAsia="方正黑体简体" w:cs="Times New Roman"/>
          <w:b w:val="0"/>
          <w:snapToGrid w:val="0"/>
          <w:color w:val="auto"/>
          <w:spacing w:val="6"/>
          <w:kern w:val="0"/>
          <w:position w:val="1"/>
          <w:sz w:val="32"/>
          <w:szCs w:val="32"/>
          <w:lang w:val="en-US" w:eastAsia="zh-CN" w:bidi="ar-SA"/>
        </w:rPr>
      </w:pPr>
    </w:p>
    <w:p w14:paraId="7E7F010F">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报价单位（加盖公章）：</w:t>
      </w:r>
    </w:p>
    <w:p w14:paraId="2542C7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5F344EF0">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48592312">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2520" w:firstLineChars="1200"/>
        <w:jc w:val="both"/>
        <w:textAlignment w:val="baseline"/>
        <w:outlineLvl w:val="9"/>
        <w:rPr>
          <w:rFonts w:hint="default" w:eastAsia="宋体"/>
          <w:lang w:val="en-US" w:eastAsia="zh-CN"/>
        </w:rPr>
      </w:pPr>
    </w:p>
    <w:p w14:paraId="0C6FBF9D">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outlineLvl w:val="9"/>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附件5</w:t>
      </w:r>
    </w:p>
    <w:p w14:paraId="395BBB01">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小标宋简体" w:hAnsi="方正小标宋简体" w:eastAsia="方正小标宋简体" w:cs="方正小标宋简体"/>
          <w:b/>
          <w:bCs/>
          <w:sz w:val="36"/>
          <w:szCs w:val="36"/>
          <w:lang w:val="en-US" w:eastAsia="zh-CN"/>
        </w:rPr>
      </w:pPr>
      <w:r>
        <w:rPr>
          <w:rFonts w:hint="eastAsia" w:ascii="方正小标宋简体" w:hAnsi="方正小标宋简体" w:eastAsia="方正小标宋简体" w:cs="方正小标宋简体"/>
          <w:b/>
          <w:bCs/>
          <w:sz w:val="36"/>
          <w:szCs w:val="36"/>
          <w:lang w:val="en-US" w:eastAsia="zh-CN"/>
        </w:rPr>
        <w:t>威远县妇幼保健计划生育服务中心采购《威远县生育服务能力提升项目》医疗设备清单</w:t>
      </w:r>
    </w:p>
    <w:tbl>
      <w:tblPr>
        <w:tblStyle w:val="6"/>
        <w:tblW w:w="90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3708"/>
        <w:gridCol w:w="1506"/>
        <w:gridCol w:w="1247"/>
        <w:gridCol w:w="1815"/>
      </w:tblGrid>
      <w:tr w14:paraId="4F3E1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162C3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序号</w:t>
            </w:r>
          </w:p>
        </w:tc>
        <w:tc>
          <w:tcPr>
            <w:tcW w:w="3708" w:type="dxa"/>
            <w:tcBorders>
              <w:top w:val="single" w:color="000000" w:sz="4" w:space="0"/>
              <w:left w:val="single" w:color="000000" w:sz="4" w:space="0"/>
              <w:bottom w:val="single" w:color="000000" w:sz="4" w:space="0"/>
              <w:right w:val="single" w:color="000000" w:sz="4" w:space="0"/>
            </w:tcBorders>
            <w:noWrap/>
            <w:vAlign w:val="center"/>
          </w:tcPr>
          <w:p w14:paraId="461475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品名</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1BFC4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kern w:val="0"/>
                <w:sz w:val="24"/>
                <w:szCs w:val="24"/>
                <w:u w:val="none"/>
                <w:lang w:val="en-US" w:eastAsia="zh-CN" w:bidi="ar"/>
              </w:rPr>
            </w:pPr>
            <w:r>
              <w:rPr>
                <w:rFonts w:hint="default" w:ascii="Times New Roman" w:hAnsi="Times New Roman" w:eastAsia="方正仿宋简体" w:cs="Times New Roman"/>
                <w:b/>
                <w:bCs/>
                <w:i w:val="0"/>
                <w:iCs w:val="0"/>
                <w:color w:val="000000"/>
                <w:kern w:val="0"/>
                <w:sz w:val="24"/>
                <w:szCs w:val="24"/>
                <w:u w:val="none"/>
                <w:lang w:val="en-US" w:eastAsia="zh-CN" w:bidi="ar"/>
              </w:rPr>
              <w:t>预算单价</w:t>
            </w:r>
          </w:p>
          <w:p w14:paraId="20F876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（万元）</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61FEDF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数量</w:t>
            </w:r>
          </w:p>
        </w:tc>
        <w:tc>
          <w:tcPr>
            <w:tcW w:w="1815" w:type="dxa"/>
            <w:tcBorders>
              <w:top w:val="single" w:color="000000" w:sz="4" w:space="0"/>
              <w:left w:val="single" w:color="000000" w:sz="4" w:space="0"/>
              <w:bottom w:val="single" w:color="000000" w:sz="4" w:space="0"/>
              <w:right w:val="single" w:color="000000" w:sz="4" w:space="0"/>
            </w:tcBorders>
            <w:noWrap/>
            <w:vAlign w:val="center"/>
          </w:tcPr>
          <w:p w14:paraId="511903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kern w:val="0"/>
                <w:sz w:val="24"/>
                <w:szCs w:val="24"/>
                <w:u w:val="none"/>
                <w:lang w:val="en-US" w:eastAsia="zh-CN" w:bidi="ar"/>
              </w:rPr>
            </w:pPr>
            <w:r>
              <w:rPr>
                <w:rFonts w:hint="default" w:ascii="Times New Roman" w:hAnsi="Times New Roman" w:eastAsia="方正仿宋简体" w:cs="Times New Roman"/>
                <w:b/>
                <w:bCs/>
                <w:i w:val="0"/>
                <w:iCs w:val="0"/>
                <w:color w:val="000000"/>
                <w:kern w:val="0"/>
                <w:sz w:val="24"/>
                <w:szCs w:val="24"/>
                <w:u w:val="none"/>
                <w:lang w:val="en-US" w:eastAsia="zh-CN" w:bidi="ar"/>
              </w:rPr>
              <w:t>预算总价</w:t>
            </w:r>
          </w:p>
          <w:p w14:paraId="412175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（万元）</w:t>
            </w:r>
          </w:p>
        </w:tc>
      </w:tr>
      <w:tr w14:paraId="104C9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2CE5E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B0A4FF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新生儿吸痰器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3E3BF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2EEF9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A773C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0.32</w:t>
            </w:r>
          </w:p>
        </w:tc>
      </w:tr>
      <w:tr w14:paraId="40787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3A544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4ED2CE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腹腔镜及配套</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427C1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80</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C00C2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DD9D5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80</w:t>
            </w:r>
          </w:p>
        </w:tc>
      </w:tr>
      <w:tr w14:paraId="62F61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C7D80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3E6850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嵌入式治疗柜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854C7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B29A9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44327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5.4</w:t>
            </w:r>
          </w:p>
        </w:tc>
      </w:tr>
      <w:tr w14:paraId="48AA8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761B9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7E25F0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多功能麻醉机（中端）</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A0DAB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E32DE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39EAC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66</w:t>
            </w:r>
          </w:p>
        </w:tc>
      </w:tr>
      <w:tr w14:paraId="38A6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B50CF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80FAF8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麻醉监护仪（普通）（半插件式+呼吸末CO2）</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1C0CA5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B5E32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45EC1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r>
      <w:tr w14:paraId="2B105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9BF0D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9971A7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麻醉监护仪（中端）（插件式+呼吸末CO2+麻醉深度）</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3B789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12.96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53368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B0B37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25.92</w:t>
            </w:r>
          </w:p>
        </w:tc>
      </w:tr>
      <w:tr w14:paraId="5C042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D1A1F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8E5EA3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液体恒温器（嵌入式）</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3F0F8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7337E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C175D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0.8</w:t>
            </w:r>
          </w:p>
        </w:tc>
      </w:tr>
      <w:tr w14:paraId="010B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EE65E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8C8337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多功能手术床（中端）</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C27FC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C6228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9E6D5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r>
      <w:tr w14:paraId="5043D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24962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325124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多功能手术床（普通</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76888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1191B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07B56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30</w:t>
            </w:r>
          </w:p>
        </w:tc>
      </w:tr>
      <w:tr w14:paraId="57082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8877A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A2E4E6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无影灯（双灯）（普通）</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D8015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412E8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ED355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64</w:t>
            </w:r>
          </w:p>
        </w:tc>
      </w:tr>
      <w:tr w14:paraId="38CEF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C8CE6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AA5A2E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冲眼设备</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CFC49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85F56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09E6C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0.15</w:t>
            </w:r>
          </w:p>
        </w:tc>
      </w:tr>
      <w:tr w14:paraId="35BDE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A18D3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36BD46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器械篮</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C6B5B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48F1E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80355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w:t>
            </w:r>
          </w:p>
        </w:tc>
      </w:tr>
      <w:tr w14:paraId="3FF4A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0328A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F130CC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辐射台</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2375E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3BF23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31A75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r>
      <w:tr w14:paraId="48CDE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1359B9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E9B016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器械车</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67162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1BCEF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F5048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1.6</w:t>
            </w:r>
          </w:p>
        </w:tc>
      </w:tr>
      <w:tr w14:paraId="53482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E9FFE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6F2D89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治疗车</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26BB0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56403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30</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639CA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r>
      <w:tr w14:paraId="54EF5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071D5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101193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移动药品柜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96981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36B2F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2"/>
                <w:u w:val="none"/>
              </w:rPr>
            </w:pPr>
            <w:r>
              <w:rPr>
                <w:rFonts w:hint="default" w:ascii="Times New Roman" w:hAnsi="Times New Roman" w:eastAsia="方正仿宋简体" w:cs="Times New Roman"/>
                <w:b/>
                <w:bCs/>
                <w:i w:val="0"/>
                <w:iCs w:val="0"/>
                <w:color w:val="000000"/>
                <w:kern w:val="0"/>
                <w:sz w:val="24"/>
                <w:szCs w:val="22"/>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A6920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r>
      <w:tr w14:paraId="7E793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B791A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B8F56A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吊桥（手术室、产房使用）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BB92A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8868A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5D138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16.4</w:t>
            </w:r>
          </w:p>
        </w:tc>
      </w:tr>
      <w:tr w14:paraId="58F7A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DC5DB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A1528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吊塔（手术室、产房使用）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C9A19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09F03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AE938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17.2</w:t>
            </w:r>
          </w:p>
        </w:tc>
      </w:tr>
      <w:tr w14:paraId="7A4E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2B53C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5655B0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医用冷藏箱</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A094E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EB8F6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68450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2.4</w:t>
            </w:r>
          </w:p>
        </w:tc>
      </w:tr>
      <w:tr w14:paraId="13E8D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BFC53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9C8747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高频电刀</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D9C47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09469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9BBEA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17.6</w:t>
            </w:r>
          </w:p>
        </w:tc>
      </w:tr>
      <w:tr w14:paraId="6ABFE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36773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3E96AE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超声刀</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501BB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30</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7B54B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82442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30</w:t>
            </w:r>
          </w:p>
        </w:tc>
      </w:tr>
      <w:tr w14:paraId="39560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3B1DF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138E3C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换车床</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1EE9B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0.52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B906F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7903F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1.04</w:t>
            </w:r>
          </w:p>
        </w:tc>
      </w:tr>
      <w:tr w14:paraId="656DF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5925C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3B1919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手术室集中控制系统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A73AC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F70B8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66A05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6.32</w:t>
            </w:r>
          </w:p>
        </w:tc>
      </w:tr>
      <w:tr w14:paraId="553EB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15D9D7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665EBB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宫腔镜（电切镜）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CE6CF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B85D5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970EA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r>
      <w:tr w14:paraId="47AD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07A03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98BD14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宫腔镜（检查镜/阴道内镜）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BF437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5108A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1B495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r>
      <w:tr w14:paraId="7385E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0A535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A024DA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注射泵</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058D6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E4C56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4293E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7.7</w:t>
            </w:r>
          </w:p>
        </w:tc>
      </w:tr>
      <w:tr w14:paraId="06088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F8191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FC4148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注射泵（双通）</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CB007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20936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5AEFF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r>
      <w:tr w14:paraId="6DE5D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8298F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F261EA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T组合治疗仪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F968B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28D48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B6BB3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r>
      <w:tr w14:paraId="75CF0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E4BC2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68A515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新生儿监护仪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B7520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A5497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64E27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r>
      <w:tr w14:paraId="045DA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9F0C9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608CA8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电动吸引器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37835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502F5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82492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0.75</w:t>
            </w:r>
          </w:p>
        </w:tc>
      </w:tr>
      <w:tr w14:paraId="67C3F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83E0A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2CFB3D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便携式血气分析仪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CC1C5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50DEE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953BA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r>
      <w:tr w14:paraId="19182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6CAD2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E50AD0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可视喉镜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2E818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8DA62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722C5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r>
      <w:tr w14:paraId="5ABEF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57BAF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9B557F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复苏床</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6DFAF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4B8D4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EC4BD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r>
      <w:tr w14:paraId="37CDB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F0261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8A75E0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心电监护仪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0F397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0703F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D7A68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16.8</w:t>
            </w:r>
          </w:p>
        </w:tc>
      </w:tr>
      <w:tr w14:paraId="3056D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11B913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F7FB23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待产床</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D4889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7B169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BB017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r>
      <w:tr w14:paraId="3809C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9E707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BCB37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多功能产床</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61A08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A8D4D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17E0F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33</w:t>
            </w:r>
          </w:p>
        </w:tc>
      </w:tr>
      <w:tr w14:paraId="1C23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291AF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653AFC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无线胎监仪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C3305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3B547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AA8A2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r>
      <w:tr w14:paraId="3989B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E1DA4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D6DC7F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待产室无线胎监工作站 1拖3</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87800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026A3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27D9D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30</w:t>
            </w:r>
          </w:p>
        </w:tc>
      </w:tr>
      <w:tr w14:paraId="677D2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1EE40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763C23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无影灯（单灯）</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3410B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8968B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30FF5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54</w:t>
            </w:r>
          </w:p>
        </w:tc>
      </w:tr>
      <w:tr w14:paraId="7CBD9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72BD4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530CAE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治疗台</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EE932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1C5C9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9C94B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0.6</w:t>
            </w:r>
          </w:p>
        </w:tc>
      </w:tr>
      <w:tr w14:paraId="5D480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332F1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6B14DB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胎儿监护仪（双胎）</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5405B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9FF69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FC702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31.2</w:t>
            </w:r>
          </w:p>
        </w:tc>
      </w:tr>
      <w:tr w14:paraId="3D636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FC204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B50C78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输液泵</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23932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6C48CA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CD613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3.5</w:t>
            </w:r>
          </w:p>
        </w:tc>
      </w:tr>
      <w:tr w14:paraId="13720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4FF50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3EFDCE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T组合治疗仪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4AA7F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368E8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3C54E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r>
      <w:tr w14:paraId="7792B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6FD46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5866D9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新生儿蓝光箱</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52696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E5F2F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24077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9.6</w:t>
            </w:r>
          </w:p>
        </w:tc>
      </w:tr>
      <w:tr w14:paraId="5EE17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E740A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E97E0A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新生儿黄疸仪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EB752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A1C98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C0CAF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r>
      <w:tr w14:paraId="3B3E6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13E9D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CD2C7C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高频（胸壁）振动排痰系统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5C4FD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55702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3210E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10.5</w:t>
            </w:r>
          </w:p>
        </w:tc>
      </w:tr>
      <w:tr w14:paraId="5FD61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6060C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307D25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动态多参数遥测监护仪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C9A88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6C84D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D7344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w:t>
            </w:r>
          </w:p>
        </w:tc>
      </w:tr>
      <w:tr w14:paraId="7AA88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EC48E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52F4E1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动态多参数遥测监护仪中央监护系统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113B9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32BAA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9548A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r>
      <w:tr w14:paraId="768A8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DEE8F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6454FF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中央监护系统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52F9A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C50D8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1B2F0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r>
      <w:tr w14:paraId="6DAF5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3BD04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F7F4B3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经鼻高流量湿化氧疗仪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448A0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FB177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97B8C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r>
      <w:tr w14:paraId="1E86B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2F01B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016216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新生儿气管插管模型全功能模拟人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438D5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54E0A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4BF54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r>
      <w:tr w14:paraId="1AD56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36AE6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06EDDE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除颤仪（新生儿）</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8D961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6FA57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2571E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r>
      <w:tr w14:paraId="0F7DF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35F11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7DC48E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婴儿无创呼吸机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BAC75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42C8F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D70DD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23</w:t>
            </w:r>
          </w:p>
        </w:tc>
      </w:tr>
      <w:tr w14:paraId="24AE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9BC9B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EE9050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离心机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D8BB1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254C8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A910E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2.4</w:t>
            </w:r>
          </w:p>
        </w:tc>
      </w:tr>
      <w:tr w14:paraId="10463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1895C4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8B5344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显微镜（双目版）</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7491D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C9B25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E9E20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r>
      <w:tr w14:paraId="049DB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57CB7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25ECD9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显微镜（三目版接相机）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8C75D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38875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CC6B3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r>
      <w:tr w14:paraId="43F06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5C82A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2F2248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全自动凝血分析仪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5B73C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13.5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DF79A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BF0AB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13.5</w:t>
            </w:r>
          </w:p>
        </w:tc>
      </w:tr>
      <w:tr w14:paraId="48090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8F0E1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E05E7B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压力蒸汽灭菌器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24AEE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C07F2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143D5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8.9</w:t>
            </w:r>
          </w:p>
        </w:tc>
      </w:tr>
      <w:tr w14:paraId="2DB35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D82F8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7F513B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多普勒超声诊断仪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C48D5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112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B56AE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C3A0B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112</w:t>
            </w:r>
          </w:p>
        </w:tc>
      </w:tr>
      <w:tr w14:paraId="71A4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905CB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0BEAE4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间歇式充气压力系统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18C87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2EB85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ED6D5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r>
      <w:tr w14:paraId="5AE66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60226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0C4E94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红外线治疗仪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05B59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2.95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1309D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FFDA4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11.8</w:t>
            </w:r>
          </w:p>
        </w:tc>
      </w:tr>
      <w:tr w14:paraId="54951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1AE842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1CF48B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低频治疗仪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9A472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DE200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D37DF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6.6</w:t>
            </w:r>
          </w:p>
        </w:tc>
      </w:tr>
      <w:tr w14:paraId="3C225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4CA98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8DA5DA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电子阴道镜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8CE35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ED2FC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79D0A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r>
      <w:tr w14:paraId="30CBF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C4B01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F308F3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治疗柜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BD15A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0.29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F43E7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45126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0.29</w:t>
            </w:r>
          </w:p>
        </w:tc>
      </w:tr>
      <w:tr w14:paraId="3B1E6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17129B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EC879A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残余尿测定仪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5DE6C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78641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C2489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0.33</w:t>
            </w:r>
          </w:p>
        </w:tc>
      </w:tr>
      <w:tr w14:paraId="395A2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6AE74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4542A0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落地式大功率短波超短波治疗仪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6721B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34F4C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E7BD7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r>
      <w:tr w14:paraId="1C548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04734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0E251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妇科二氧化碳激光治疗仪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512C4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3346E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CEADD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45</w:t>
            </w:r>
          </w:p>
        </w:tc>
      </w:tr>
      <w:tr w14:paraId="61C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F7935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DFD411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多功能妇科综合治疗仪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E01E8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13FC6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F8312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r>
      <w:tr w14:paraId="639B1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CD2AC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B9897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卧式圆形压力蒸汽灭菌器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D45AE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A595D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ECF84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8.9</w:t>
            </w:r>
          </w:p>
        </w:tc>
      </w:tr>
      <w:tr w14:paraId="58EEC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A3520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E6A37D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口腔颌面锥心束计算机体层摄影设备（CBCT)</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257E8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63C4E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2B6F2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r>
      <w:tr w14:paraId="78AB3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1733FD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14CC93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综合治疗机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C0AEB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1.68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71271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BAE18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3.36</w:t>
            </w:r>
          </w:p>
        </w:tc>
      </w:tr>
      <w:tr w14:paraId="6568F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D4262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850189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综合治疗机（儿童专业）</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2E7F9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A6FAA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1E326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3.5</w:t>
            </w:r>
          </w:p>
        </w:tc>
      </w:tr>
      <w:tr w14:paraId="776C3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2DED1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B5403B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内置洁牙机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4F87A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0.98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F08445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17D81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0.98</w:t>
            </w:r>
          </w:p>
        </w:tc>
      </w:tr>
      <w:tr w14:paraId="7E1E8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24DDE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AC2AB2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台式高温高压灭菌器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B979F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CC543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FFC62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1.08</w:t>
            </w:r>
          </w:p>
        </w:tc>
      </w:tr>
      <w:tr w14:paraId="21FC6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4CAB2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0B3D12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空压机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1014A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BFBD9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8764A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0.46</w:t>
            </w:r>
          </w:p>
        </w:tc>
      </w:tr>
      <w:tr w14:paraId="0B772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AFF339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DB52AB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空气吸附式干燥机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7973F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ABA55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CA10C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0.39</w:t>
            </w:r>
          </w:p>
        </w:tc>
      </w:tr>
      <w:tr w14:paraId="5139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A25F4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174F2F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负压机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04A73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BF239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14FCC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0.8</w:t>
            </w:r>
          </w:p>
        </w:tc>
      </w:tr>
      <w:tr w14:paraId="7F441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9B353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31DB2B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微酸性电解水生成器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B7E28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80E46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17C03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2.8</w:t>
            </w:r>
          </w:p>
        </w:tc>
      </w:tr>
      <w:tr w14:paraId="3C6D1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93A5A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683FA5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微动力系统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98F9E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2.38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884E5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0642D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2.38</w:t>
            </w:r>
          </w:p>
        </w:tc>
      </w:tr>
      <w:tr w14:paraId="12750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1D59F0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09644B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口腔麻醉助推仪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EA270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76D61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4F800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0.33</w:t>
            </w:r>
          </w:p>
        </w:tc>
      </w:tr>
      <w:tr w14:paraId="007D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65B24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6FCAF3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光固化机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4886A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0.098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DD606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5AC86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0.098</w:t>
            </w:r>
          </w:p>
        </w:tc>
      </w:tr>
      <w:tr w14:paraId="03751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4852A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A0B9D2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超声牙周喷砂机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94CF7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02EA5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F4291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1.28</w:t>
            </w:r>
          </w:p>
        </w:tc>
      </w:tr>
      <w:tr w14:paraId="755FA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3F3F5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6DC4C1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根管荡洗</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B72C1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CDA2D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0954D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0.13</w:t>
            </w:r>
          </w:p>
        </w:tc>
      </w:tr>
      <w:tr w14:paraId="231E6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B34B8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621A33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根管长度测量仪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28E8A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77E24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97D99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0.2</w:t>
            </w:r>
          </w:p>
        </w:tc>
      </w:tr>
      <w:tr w14:paraId="442C5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451F7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2DB91D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牙科种植机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704E6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61C56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077FB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r>
      <w:tr w14:paraId="40654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2F2BE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3F08DD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根管预备机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F8384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92D1A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B3410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w:t>
            </w:r>
          </w:p>
        </w:tc>
      </w:tr>
      <w:tr w14:paraId="5AC7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1BA942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4711DA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热熔牙胶充填机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D5D92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2C030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1D332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w:t>
            </w:r>
          </w:p>
        </w:tc>
      </w:tr>
      <w:tr w14:paraId="1B437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63690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11F230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智慧屏</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AB5D0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BA230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8373D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0.96</w:t>
            </w:r>
          </w:p>
        </w:tc>
      </w:tr>
      <w:tr w14:paraId="5F7F7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F20F5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0AA9A7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等离子空气消毒机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54B07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18778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5EE4D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w:t>
            </w:r>
          </w:p>
        </w:tc>
      </w:tr>
      <w:tr w14:paraId="34C95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93954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AF4379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等离子空气消毒机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74B3E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EFEE6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6404E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w:t>
            </w:r>
          </w:p>
        </w:tc>
      </w:tr>
      <w:tr w14:paraId="4A81A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DE529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F45F49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器械干燥机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0D89D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FB276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3E4C1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0.48</w:t>
            </w:r>
          </w:p>
        </w:tc>
      </w:tr>
      <w:tr w14:paraId="53262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A4BF1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D38E77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超声波清洗机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75362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05219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91540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0.18</w:t>
            </w:r>
          </w:p>
        </w:tc>
      </w:tr>
      <w:tr w14:paraId="1B85D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8DBF1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54830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高压气枪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13073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B2754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73E84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0.06</w:t>
            </w:r>
          </w:p>
        </w:tc>
      </w:tr>
      <w:tr w14:paraId="6E36C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629E2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4204E4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高压水枪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B3398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823C3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E7EA1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0.06</w:t>
            </w:r>
          </w:p>
        </w:tc>
      </w:tr>
      <w:tr w14:paraId="0EB3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C8080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D94711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打磨机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902A5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0.68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967C0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542B9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0.68</w:t>
            </w:r>
          </w:p>
        </w:tc>
      </w:tr>
      <w:tr w14:paraId="62CC5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24C51C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B22F4E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压膜机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2A791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93240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925C4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r>
      <w:tr w14:paraId="5C98D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7CC8C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BAEB73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石膏打磨机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AFDBD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52DFC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C86D2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0.19</w:t>
            </w:r>
          </w:p>
        </w:tc>
      </w:tr>
      <w:tr w14:paraId="760F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2355D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084477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石膏沉淀池</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966D5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2C9EA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4797A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0.07</w:t>
            </w:r>
          </w:p>
        </w:tc>
      </w:tr>
      <w:tr w14:paraId="48314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FBDAD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6CB30A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石膏振荡机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0612F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61D3C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3FFCB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0.06</w:t>
            </w:r>
          </w:p>
        </w:tc>
      </w:tr>
      <w:tr w14:paraId="37CF7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85672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356AF1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人体成分分析仪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C5474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01B7D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997D3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r>
      <w:tr w14:paraId="64380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000000" w:sz="4" w:space="0"/>
              <w:left w:val="single" w:color="000000" w:sz="4" w:space="0"/>
              <w:bottom w:val="single" w:color="auto" w:sz="4" w:space="0"/>
              <w:right w:val="single" w:color="000000" w:sz="4" w:space="0"/>
            </w:tcBorders>
            <w:noWrap/>
            <w:vAlign w:val="center"/>
          </w:tcPr>
          <w:p w14:paraId="1C201D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101</w:t>
            </w:r>
          </w:p>
        </w:tc>
        <w:tc>
          <w:tcPr>
            <w:tcW w:w="3708" w:type="dxa"/>
            <w:tcBorders>
              <w:top w:val="single" w:color="000000" w:sz="4" w:space="0"/>
              <w:left w:val="single" w:color="000000" w:sz="4" w:space="0"/>
              <w:bottom w:val="single" w:color="auto" w:sz="4" w:space="0"/>
              <w:right w:val="single" w:color="000000" w:sz="4" w:space="0"/>
            </w:tcBorders>
            <w:noWrap w:val="0"/>
            <w:vAlign w:val="center"/>
          </w:tcPr>
          <w:p w14:paraId="53084F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心理评估与干预系统</w:t>
            </w:r>
          </w:p>
        </w:tc>
        <w:tc>
          <w:tcPr>
            <w:tcW w:w="1506" w:type="dxa"/>
            <w:tcBorders>
              <w:top w:val="single" w:color="000000" w:sz="4" w:space="0"/>
              <w:left w:val="single" w:color="000000" w:sz="4" w:space="0"/>
              <w:bottom w:val="single" w:color="auto" w:sz="4" w:space="0"/>
              <w:right w:val="single" w:color="000000" w:sz="4" w:space="0"/>
            </w:tcBorders>
            <w:noWrap w:val="0"/>
            <w:vAlign w:val="center"/>
          </w:tcPr>
          <w:p w14:paraId="06B81B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19.8</w:t>
            </w:r>
          </w:p>
        </w:tc>
        <w:tc>
          <w:tcPr>
            <w:tcW w:w="1247" w:type="dxa"/>
            <w:tcBorders>
              <w:top w:val="single" w:color="000000" w:sz="4" w:space="0"/>
              <w:left w:val="single" w:color="000000" w:sz="4" w:space="0"/>
              <w:bottom w:val="single" w:color="auto" w:sz="4" w:space="0"/>
              <w:right w:val="single" w:color="000000" w:sz="4" w:space="0"/>
            </w:tcBorders>
            <w:noWrap w:val="0"/>
            <w:vAlign w:val="center"/>
          </w:tcPr>
          <w:p w14:paraId="33618F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auto" w:sz="4" w:space="0"/>
              <w:right w:val="single" w:color="000000" w:sz="4" w:space="0"/>
            </w:tcBorders>
            <w:noWrap w:val="0"/>
            <w:vAlign w:val="center"/>
          </w:tcPr>
          <w:p w14:paraId="5CACDB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19.8</w:t>
            </w:r>
          </w:p>
        </w:tc>
      </w:tr>
      <w:tr w14:paraId="1AF03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4" w:type="dxa"/>
            <w:tcBorders>
              <w:top w:val="single" w:color="auto" w:sz="4" w:space="0"/>
              <w:left w:val="single" w:color="auto" w:sz="4" w:space="0"/>
              <w:bottom w:val="single" w:color="auto" w:sz="4" w:space="0"/>
              <w:right w:val="single" w:color="auto" w:sz="4" w:space="0"/>
            </w:tcBorders>
            <w:noWrap/>
            <w:vAlign w:val="center"/>
          </w:tcPr>
          <w:p w14:paraId="041206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8"/>
                <w:u w:val="none"/>
              </w:rPr>
            </w:pPr>
            <w:r>
              <w:rPr>
                <w:rFonts w:hint="default" w:ascii="Times New Roman" w:hAnsi="Times New Roman" w:eastAsia="方正仿宋简体" w:cs="Times New Roman"/>
                <w:b/>
                <w:bCs/>
                <w:i w:val="0"/>
                <w:iCs w:val="0"/>
                <w:color w:val="000000"/>
                <w:kern w:val="0"/>
                <w:sz w:val="24"/>
                <w:szCs w:val="28"/>
                <w:u w:val="none"/>
                <w:lang w:val="en-US" w:eastAsia="zh-CN" w:bidi="ar"/>
              </w:rPr>
              <w:t>合计</w:t>
            </w:r>
          </w:p>
        </w:tc>
        <w:tc>
          <w:tcPr>
            <w:tcW w:w="3708" w:type="dxa"/>
            <w:tcBorders>
              <w:top w:val="single" w:color="auto" w:sz="4" w:space="0"/>
              <w:left w:val="single" w:color="auto" w:sz="4" w:space="0"/>
              <w:bottom w:val="single" w:color="auto" w:sz="4" w:space="0"/>
              <w:right w:val="single" w:color="auto" w:sz="4" w:space="0"/>
            </w:tcBorders>
            <w:noWrap/>
            <w:vAlign w:val="center"/>
          </w:tcPr>
          <w:p w14:paraId="2FED19CD">
            <w:pPr>
              <w:snapToGrid w:val="0"/>
              <w:ind w:left="0" w:leftChars="0" w:right="0" w:rightChars="0" w:firstLine="0" w:firstLineChars="0"/>
              <w:jc w:val="left"/>
              <w:rPr>
                <w:rFonts w:hint="default" w:ascii="Times New Roman" w:hAnsi="Times New Roman" w:eastAsia="方正仿宋简体" w:cs="Times New Roman"/>
                <w:b/>
                <w:bCs/>
                <w:i w:val="0"/>
                <w:iCs w:val="0"/>
                <w:color w:val="000000"/>
                <w:sz w:val="24"/>
                <w:szCs w:val="28"/>
                <w:u w:val="none"/>
              </w:rPr>
            </w:pPr>
          </w:p>
        </w:tc>
        <w:tc>
          <w:tcPr>
            <w:tcW w:w="1506" w:type="dxa"/>
            <w:tcBorders>
              <w:top w:val="single" w:color="auto" w:sz="4" w:space="0"/>
              <w:left w:val="single" w:color="auto" w:sz="4" w:space="0"/>
              <w:bottom w:val="single" w:color="auto" w:sz="4" w:space="0"/>
              <w:right w:val="single" w:color="auto" w:sz="4" w:space="0"/>
            </w:tcBorders>
            <w:noWrap/>
            <w:vAlign w:val="center"/>
          </w:tcPr>
          <w:p w14:paraId="76D066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8"/>
                <w:u w:val="none"/>
              </w:rPr>
            </w:pPr>
          </w:p>
        </w:tc>
        <w:tc>
          <w:tcPr>
            <w:tcW w:w="1247" w:type="dxa"/>
            <w:tcBorders>
              <w:top w:val="single" w:color="auto" w:sz="4" w:space="0"/>
              <w:left w:val="single" w:color="auto" w:sz="4" w:space="0"/>
              <w:bottom w:val="single" w:color="auto" w:sz="4" w:space="0"/>
              <w:right w:val="single" w:color="auto" w:sz="4" w:space="0"/>
            </w:tcBorders>
            <w:noWrap/>
            <w:vAlign w:val="center"/>
          </w:tcPr>
          <w:p w14:paraId="75A4BE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8"/>
                <w:u w:val="none"/>
              </w:rPr>
            </w:pPr>
            <w:r>
              <w:rPr>
                <w:rFonts w:hint="default" w:ascii="Times New Roman" w:hAnsi="Times New Roman" w:eastAsia="方正仿宋简体" w:cs="Times New Roman"/>
                <w:b/>
                <w:bCs/>
                <w:i w:val="0"/>
                <w:iCs w:val="0"/>
                <w:color w:val="000000"/>
                <w:kern w:val="0"/>
                <w:sz w:val="24"/>
                <w:szCs w:val="28"/>
                <w:u w:val="none"/>
                <w:lang w:val="en-US" w:eastAsia="zh-CN" w:bidi="ar"/>
              </w:rPr>
              <w:t>292</w:t>
            </w:r>
          </w:p>
        </w:tc>
        <w:tc>
          <w:tcPr>
            <w:tcW w:w="1815" w:type="dxa"/>
            <w:tcBorders>
              <w:top w:val="single" w:color="auto" w:sz="4" w:space="0"/>
              <w:left w:val="single" w:color="auto" w:sz="4" w:space="0"/>
              <w:bottom w:val="single" w:color="auto" w:sz="4" w:space="0"/>
              <w:right w:val="single" w:color="auto" w:sz="4" w:space="0"/>
            </w:tcBorders>
            <w:noWrap/>
            <w:vAlign w:val="center"/>
          </w:tcPr>
          <w:p w14:paraId="79DF7F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8"/>
                <w:u w:val="none"/>
              </w:rPr>
            </w:pPr>
            <w:r>
              <w:rPr>
                <w:rFonts w:hint="default" w:ascii="Times New Roman" w:hAnsi="Times New Roman" w:eastAsia="方正仿宋简体" w:cs="Times New Roman"/>
                <w:b/>
                <w:bCs/>
                <w:i w:val="0"/>
                <w:iCs w:val="0"/>
                <w:color w:val="000000"/>
                <w:kern w:val="0"/>
                <w:sz w:val="24"/>
                <w:szCs w:val="28"/>
                <w:u w:val="none"/>
                <w:lang w:val="en-US" w:eastAsia="zh-CN" w:bidi="ar"/>
              </w:rPr>
              <w:t>1121.748</w:t>
            </w:r>
          </w:p>
        </w:tc>
      </w:tr>
    </w:tbl>
    <w:p w14:paraId="0AC2F541">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outlineLvl w:val="9"/>
        <w:rPr>
          <w:rFonts w:hint="default" w:ascii="Times New Roman" w:hAnsi="Times New Roman" w:eastAsia="方正仿宋简体" w:cs="Times New Roman"/>
          <w:b/>
          <w:bCs/>
          <w:sz w:val="32"/>
          <w:szCs w:val="32"/>
          <w:lang w:val="en-US" w:eastAsia="zh-CN"/>
        </w:rPr>
      </w:pPr>
    </w:p>
    <w:p w14:paraId="46278B21">
      <w:bookmarkStart w:id="0" w:name="_GoBack"/>
      <w:bookmarkEnd w:id="0"/>
    </w:p>
    <w:sectPr>
      <w:headerReference r:id="rId3" w:type="default"/>
      <w:footerReference r:id="rId4" w:type="default"/>
      <w:pgSz w:w="11906" w:h="16838"/>
      <w:pgMar w:top="2098" w:right="1531" w:bottom="1928" w:left="1531"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984197-6C5E-4143-9F68-C126F43061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3B7F182C-0752-4424-B3AE-29A824EFC7BC}"/>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00000000000000000"/>
    <w:charset w:val="86"/>
    <w:family w:val="auto"/>
    <w:pitch w:val="default"/>
    <w:sig w:usb0="A00002BF" w:usb1="184F6CFA" w:usb2="00000012" w:usb3="00000000" w:csb0="00040001" w:csb1="00000000"/>
    <w:embedRegular r:id="rId3" w:fontKey="{717A6D65-6058-4B50-8705-85006EC00E0A}"/>
  </w:font>
  <w:font w:name="方正小标宋简体">
    <w:panose1 w:val="02000000000000000000"/>
    <w:charset w:val="86"/>
    <w:family w:val="auto"/>
    <w:pitch w:val="default"/>
    <w:sig w:usb0="00000001" w:usb1="08000000" w:usb2="00000000" w:usb3="00000000" w:csb0="00040000" w:csb1="00000000"/>
    <w:embedRegular r:id="rId4" w:fontKey="{B670B749-C079-4531-BD0A-85D51B08C971}"/>
  </w:font>
  <w:font w:name="方正黑体简体">
    <w:panose1 w:val="02000000000000000000"/>
    <w:charset w:val="86"/>
    <w:family w:val="auto"/>
    <w:pitch w:val="default"/>
    <w:sig w:usb0="A00002BF" w:usb1="184F6CFA" w:usb2="00000012" w:usb3="00000000" w:csb0="00040001" w:csb1="00000000"/>
    <w:embedRegular r:id="rId5" w:fontKey="{26992C00-65B1-417F-8AAE-640D9CB321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37AB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EDEF87">
                          <w:pPr>
                            <w:pStyle w:val="4"/>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path/>
              <v:fill on="f" focussize="0,0"/>
              <v:stroke on="f" weight="0.5pt"/>
              <v:imagedata o:title=""/>
              <o:lock v:ext="edit" aspectratio="f"/>
              <v:textbox inset="0mm,0mm,0mm,0mm" style="mso-fit-shape-to-text:t;">
                <w:txbxContent>
                  <w:p w14:paraId="66EDEF87">
                    <w:pPr>
                      <w:pStyle w:val="4"/>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EDD09">
    <w:pPr>
      <w:pStyle w:val="5"/>
      <w:pBdr>
        <w:bottom w:val="none" w:color="auto" w:sz="0" w:space="0"/>
      </w:pBdr>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2C501A"/>
    <w:rsid w:val="782C5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rPr>
      <w:rFonts w:ascii="Times New Roman"/>
      <w:kern w:val="2"/>
      <w:sz w:val="21"/>
      <w:szCs w:val="24"/>
    </w:rPr>
  </w:style>
  <w:style w:type="paragraph" w:styleId="3">
    <w:name w:val="Date"/>
    <w:basedOn w:val="1"/>
    <w:next w:val="1"/>
    <w:qFormat/>
    <w:uiPriority w:val="0"/>
    <w:rPr>
      <w:color w:val="000000"/>
      <w:kern w:val="0"/>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_正文段落"/>
    <w:basedOn w:val="1"/>
    <w:qFormat/>
    <w:uiPriority w:val="0"/>
    <w:pPr>
      <w:spacing w:beforeLines="15" w:afterLines="15" w:line="360" w:lineRule="auto"/>
      <w:ind w:firstLine="200" w:firstLineChars="200"/>
    </w:pPr>
    <w:rPr>
      <w:rFonts w:ascii="宋体" w:eastAsia="仿宋_GB2312"/>
      <w:kern w:val="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2026-10-21T06:53:00Z</dcterms:created>
  <dc:creator>啊</dc:creator>
  <cp:lastModifiedBy>啊</cp:lastModifiedBy>
  <dcterms:modified xsi:type="dcterms:W3CDTF">2026-10-21T06:53:51Z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9E7AFE36F8C5414BA21BBEE61E4C4675_11</vt:lpwstr>
  </property>
  <property fmtid="{D5CDD505-2E9C-101B-9397-08002B2CF9AE}" pid="4" name="KSOTemplateDocerSaveRecord">
    <vt:lpwstr>eyJoZGlkIjoiYWQ3ZWYxOGJiOWQzZTc2N2ZhZTQxZWRlMzNiY2VmODQiLCJ1c2VySWQiOiI0NTg5NTQ3MDQifQ==</vt:lpwstr>
  </property>
</Properties>
</file>