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10593">
      <w:pPr>
        <w:keepNext w:val="0"/>
        <w:keepLines w:val="0"/>
        <w:pageBreakBefore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附件1</w:t>
      </w:r>
    </w:p>
    <w:p w14:paraId="1E66FD10">
      <w:pPr>
        <w:pStyle w:val="10"/>
        <w:ind w:firstLine="723" w:firstLineChars="200"/>
        <w:jc w:val="cente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bidi="ar-SA"/>
        </w:rPr>
      </w:pPr>
      <w: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rPr>
        <w:t>威远县中医医院2026年省级中医优势专科康复科建设购置医用设备明细表</w:t>
      </w:r>
    </w:p>
    <w:tbl>
      <w:tblPr>
        <w:tblStyle w:val="7"/>
        <w:tblpPr w:leftFromText="180" w:rightFromText="180" w:vertAnchor="text" w:horzAnchor="page" w:tblpX="1874" w:tblpY="6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345"/>
        <w:gridCol w:w="1875"/>
        <w:gridCol w:w="2235"/>
      </w:tblGrid>
      <w:tr w14:paraId="0334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021203A4">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序号</w:t>
            </w:r>
          </w:p>
        </w:tc>
        <w:tc>
          <w:tcPr>
            <w:tcW w:w="3345" w:type="dxa"/>
            <w:noWrap w:val="0"/>
            <w:vAlign w:val="top"/>
          </w:tcPr>
          <w:p w14:paraId="175C5E56">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医用设备名称</w:t>
            </w:r>
          </w:p>
        </w:tc>
        <w:tc>
          <w:tcPr>
            <w:tcW w:w="1875" w:type="dxa"/>
            <w:noWrap w:val="0"/>
            <w:vAlign w:val="top"/>
          </w:tcPr>
          <w:p w14:paraId="29B2E326">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rPr>
              <w:t>数 量</w:t>
            </w:r>
          </w:p>
        </w:tc>
        <w:tc>
          <w:tcPr>
            <w:tcW w:w="2235" w:type="dxa"/>
            <w:noWrap w:val="0"/>
            <w:vAlign w:val="top"/>
          </w:tcPr>
          <w:p w14:paraId="6CE97F3E">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总价（万元）</w:t>
            </w:r>
          </w:p>
        </w:tc>
      </w:tr>
      <w:tr w14:paraId="0201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11D3699F">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default" w:ascii="Times New Roman" w:hAnsi="Times New Roman" w:eastAsia="方正仿宋简体" w:cs="Times New Roman"/>
                <w:b/>
                <w:bCs/>
                <w:color w:val="auto"/>
                <w:sz w:val="24"/>
                <w:szCs w:val="24"/>
                <w:vertAlign w:val="baseline"/>
                <w:lang w:val="en-US" w:eastAsia="zh-CN"/>
              </w:rPr>
              <w:t>1</w:t>
            </w:r>
          </w:p>
        </w:tc>
        <w:tc>
          <w:tcPr>
            <w:tcW w:w="3345" w:type="dxa"/>
            <w:noWrap w:val="0"/>
            <w:vAlign w:val="center"/>
          </w:tcPr>
          <w:p w14:paraId="47D4A515">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艾灸仪</w:t>
            </w:r>
          </w:p>
        </w:tc>
        <w:tc>
          <w:tcPr>
            <w:tcW w:w="1875" w:type="dxa"/>
            <w:noWrap w:val="0"/>
            <w:vAlign w:val="center"/>
          </w:tcPr>
          <w:p w14:paraId="2D933020">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2台</w:t>
            </w:r>
          </w:p>
        </w:tc>
        <w:tc>
          <w:tcPr>
            <w:tcW w:w="2235" w:type="dxa"/>
            <w:noWrap w:val="0"/>
            <w:vAlign w:val="center"/>
          </w:tcPr>
          <w:p w14:paraId="13B7161B">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9.7</w:t>
            </w:r>
          </w:p>
        </w:tc>
      </w:tr>
      <w:tr w14:paraId="2A58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7BBEA29B">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w:t>
            </w:r>
          </w:p>
        </w:tc>
        <w:tc>
          <w:tcPr>
            <w:tcW w:w="3345" w:type="dxa"/>
            <w:noWrap w:val="0"/>
            <w:vAlign w:val="center"/>
          </w:tcPr>
          <w:p w14:paraId="1378C36E">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电子罐疗仪</w:t>
            </w:r>
          </w:p>
        </w:tc>
        <w:tc>
          <w:tcPr>
            <w:tcW w:w="1875" w:type="dxa"/>
            <w:noWrap w:val="0"/>
            <w:vAlign w:val="center"/>
          </w:tcPr>
          <w:p w14:paraId="63C473EA">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2台</w:t>
            </w:r>
          </w:p>
        </w:tc>
        <w:tc>
          <w:tcPr>
            <w:tcW w:w="2235" w:type="dxa"/>
            <w:noWrap w:val="0"/>
            <w:vAlign w:val="center"/>
          </w:tcPr>
          <w:p w14:paraId="3BC550CA">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3.72</w:t>
            </w:r>
          </w:p>
        </w:tc>
      </w:tr>
      <w:tr w14:paraId="3D0C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229464C6">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3</w:t>
            </w:r>
          </w:p>
        </w:tc>
        <w:tc>
          <w:tcPr>
            <w:tcW w:w="3345" w:type="dxa"/>
            <w:noWrap w:val="0"/>
            <w:vAlign w:val="center"/>
          </w:tcPr>
          <w:p w14:paraId="23BC427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电脑颈椎牵引椅</w:t>
            </w:r>
          </w:p>
        </w:tc>
        <w:tc>
          <w:tcPr>
            <w:tcW w:w="1875" w:type="dxa"/>
            <w:noWrap w:val="0"/>
            <w:vAlign w:val="center"/>
          </w:tcPr>
          <w:p w14:paraId="1A4FD7A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53C8A3FD">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w:t>
            </w:r>
          </w:p>
        </w:tc>
      </w:tr>
      <w:tr w14:paraId="6AE0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33DC0E16">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4</w:t>
            </w:r>
          </w:p>
        </w:tc>
        <w:tc>
          <w:tcPr>
            <w:tcW w:w="3345" w:type="dxa"/>
            <w:noWrap w:val="0"/>
            <w:vAlign w:val="center"/>
          </w:tcPr>
          <w:p w14:paraId="671597F1">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电脑腰椎牵引床</w:t>
            </w:r>
          </w:p>
        </w:tc>
        <w:tc>
          <w:tcPr>
            <w:tcW w:w="1875" w:type="dxa"/>
            <w:noWrap w:val="0"/>
            <w:vAlign w:val="center"/>
          </w:tcPr>
          <w:p w14:paraId="75A4D0C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704C8BB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2.3</w:t>
            </w:r>
          </w:p>
        </w:tc>
      </w:tr>
      <w:tr w14:paraId="020E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1EA88973">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5</w:t>
            </w:r>
          </w:p>
        </w:tc>
        <w:tc>
          <w:tcPr>
            <w:tcW w:w="3345" w:type="dxa"/>
            <w:noWrap w:val="0"/>
            <w:vAlign w:val="center"/>
          </w:tcPr>
          <w:p w14:paraId="44AA5C22">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偏振光治疗仪（红外偏振光）</w:t>
            </w:r>
          </w:p>
        </w:tc>
        <w:tc>
          <w:tcPr>
            <w:tcW w:w="1875" w:type="dxa"/>
            <w:noWrap w:val="0"/>
            <w:vAlign w:val="center"/>
          </w:tcPr>
          <w:p w14:paraId="328FC267">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64005766">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4.5</w:t>
            </w:r>
          </w:p>
        </w:tc>
      </w:tr>
      <w:tr w14:paraId="158D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3492EE77">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6</w:t>
            </w:r>
          </w:p>
        </w:tc>
        <w:tc>
          <w:tcPr>
            <w:tcW w:w="3345" w:type="dxa"/>
            <w:noWrap w:val="0"/>
            <w:vAlign w:val="center"/>
          </w:tcPr>
          <w:p w14:paraId="05AC6C4C">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超声波治疗仪</w:t>
            </w:r>
          </w:p>
        </w:tc>
        <w:tc>
          <w:tcPr>
            <w:tcW w:w="1875" w:type="dxa"/>
            <w:noWrap w:val="0"/>
            <w:vAlign w:val="center"/>
          </w:tcPr>
          <w:p w14:paraId="1E5D16B9">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57869D9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27.4</w:t>
            </w:r>
          </w:p>
        </w:tc>
      </w:tr>
      <w:tr w14:paraId="40B6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18D3D2DC">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7</w:t>
            </w:r>
          </w:p>
        </w:tc>
        <w:tc>
          <w:tcPr>
            <w:tcW w:w="3345" w:type="dxa"/>
            <w:noWrap w:val="0"/>
            <w:vAlign w:val="center"/>
          </w:tcPr>
          <w:p w14:paraId="029CD00A">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红外线治疗仪</w:t>
            </w:r>
          </w:p>
        </w:tc>
        <w:tc>
          <w:tcPr>
            <w:tcW w:w="1875" w:type="dxa"/>
            <w:noWrap w:val="0"/>
            <w:vAlign w:val="center"/>
          </w:tcPr>
          <w:p w14:paraId="778CD94C">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20台</w:t>
            </w:r>
          </w:p>
        </w:tc>
        <w:tc>
          <w:tcPr>
            <w:tcW w:w="2235" w:type="dxa"/>
            <w:noWrap w:val="0"/>
            <w:vAlign w:val="center"/>
          </w:tcPr>
          <w:p w14:paraId="3DEAA58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1.78</w:t>
            </w:r>
          </w:p>
        </w:tc>
      </w:tr>
      <w:tr w14:paraId="6EAA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956" w:type="dxa"/>
            <w:noWrap w:val="0"/>
            <w:vAlign w:val="top"/>
          </w:tcPr>
          <w:p w14:paraId="323356CB">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eastAsia" w:ascii="Times New Roman" w:hAnsi="Times New Roman" w:eastAsia="方正仿宋简体" w:cs="Times New Roman"/>
                <w:b/>
                <w:bCs/>
                <w:color w:val="auto"/>
                <w:sz w:val="28"/>
                <w:szCs w:val="28"/>
                <w:vertAlign w:val="baseline"/>
                <w:lang w:val="en-US" w:eastAsia="zh-CN"/>
              </w:rPr>
            </w:pPr>
          </w:p>
          <w:p w14:paraId="3546AD41">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8"/>
                <w:szCs w:val="28"/>
                <w:vertAlign w:val="baseline"/>
                <w:lang w:val="en-US" w:eastAsia="zh-CN"/>
              </w:rPr>
            </w:pPr>
            <w:r>
              <w:rPr>
                <w:rFonts w:hint="eastAsia" w:ascii="Times New Roman" w:hAnsi="Times New Roman" w:eastAsia="方正仿宋简体" w:cs="Times New Roman"/>
                <w:b/>
                <w:bCs/>
                <w:color w:val="auto"/>
                <w:sz w:val="28"/>
                <w:szCs w:val="28"/>
                <w:vertAlign w:val="baseline"/>
                <w:lang w:val="en-US" w:eastAsia="zh-CN"/>
              </w:rPr>
              <w:t>合计</w:t>
            </w:r>
          </w:p>
        </w:tc>
        <w:tc>
          <w:tcPr>
            <w:tcW w:w="7455" w:type="dxa"/>
            <w:gridSpan w:val="3"/>
            <w:noWrap w:val="0"/>
            <w:vAlign w:val="top"/>
          </w:tcPr>
          <w:p w14:paraId="0D30BBCC">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eastAsia" w:hAnsi="Times New Roman" w:eastAsia="方正仿宋简体" w:cs="Times New Roman"/>
                <w:b/>
                <w:bCs/>
                <w:color w:val="auto"/>
                <w:kern w:val="2"/>
                <w:sz w:val="28"/>
                <w:szCs w:val="28"/>
                <w:vertAlign w:val="baseline"/>
                <w:lang w:val="en-US" w:eastAsia="zh-CN" w:bidi="ar-SA"/>
              </w:rPr>
            </w:pPr>
          </w:p>
          <w:p w14:paraId="7B5A917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kern w:val="2"/>
                <w:sz w:val="28"/>
                <w:szCs w:val="28"/>
                <w:vertAlign w:val="baseline"/>
                <w:lang w:val="en-US" w:eastAsia="zh-CN" w:bidi="ar-SA"/>
              </w:rPr>
            </w:pPr>
            <w:r>
              <w:rPr>
                <w:rFonts w:hint="eastAsia" w:hAnsi="Times New Roman" w:eastAsia="方正仿宋简体" w:cs="Times New Roman"/>
                <w:b/>
                <w:bCs/>
                <w:color w:val="auto"/>
                <w:kern w:val="2"/>
                <w:sz w:val="28"/>
                <w:szCs w:val="28"/>
                <w:vertAlign w:val="baseline"/>
                <w:lang w:val="en-US" w:eastAsia="zh-CN" w:bidi="ar-SA"/>
              </w:rPr>
              <w:t>小写：50.4万元</w:t>
            </w:r>
            <w:r>
              <w:rPr>
                <w:rFonts w:hint="eastAsia" w:ascii="Times New Roman" w:hAnsi="Times New Roman" w:eastAsia="方正仿宋简体" w:cs="Times New Roman"/>
                <w:b/>
                <w:bCs/>
                <w:color w:val="auto"/>
                <w:kern w:val="2"/>
                <w:sz w:val="28"/>
                <w:szCs w:val="28"/>
                <w:vertAlign w:val="baseline"/>
                <w:lang w:val="en-US" w:eastAsia="zh-CN" w:bidi="ar-SA"/>
              </w:rPr>
              <w:t>（大写：</w:t>
            </w:r>
            <w:r>
              <w:rPr>
                <w:rFonts w:hint="eastAsia" w:hAnsi="Times New Roman" w:eastAsia="方正仿宋简体" w:cs="Times New Roman"/>
                <w:b/>
                <w:bCs/>
                <w:color w:val="auto"/>
                <w:kern w:val="2"/>
                <w:sz w:val="28"/>
                <w:szCs w:val="28"/>
                <w:vertAlign w:val="baseline"/>
                <w:lang w:val="en-US" w:eastAsia="zh-CN" w:bidi="ar-SA"/>
              </w:rPr>
              <w:t>伍拾万肆仟元整</w:t>
            </w:r>
            <w:r>
              <w:rPr>
                <w:rFonts w:hint="eastAsia" w:ascii="Times New Roman" w:hAnsi="Times New Roman" w:eastAsia="方正仿宋简体" w:cs="Times New Roman"/>
                <w:b/>
                <w:bCs/>
                <w:color w:val="auto"/>
                <w:kern w:val="2"/>
                <w:sz w:val="28"/>
                <w:szCs w:val="28"/>
                <w:vertAlign w:val="baseline"/>
                <w:lang w:val="en-US" w:eastAsia="zh-CN" w:bidi="ar-SA"/>
              </w:rPr>
              <w:t>）</w:t>
            </w:r>
          </w:p>
        </w:tc>
      </w:tr>
    </w:tbl>
    <w:p w14:paraId="78ACE21F">
      <w:pPr>
        <w:rPr>
          <w:rFonts w:hint="eastAsia" w:hAnsi="Times New Roman" w:eastAsia="方正仿宋简体" w:cs="Times New Roman"/>
          <w:b/>
          <w:bCs/>
          <w:i w:val="0"/>
          <w:iCs w:val="0"/>
          <w:caps w:val="0"/>
          <w:color w:val="auto"/>
          <w:spacing w:val="0"/>
          <w:sz w:val="32"/>
          <w:szCs w:val="32"/>
          <w:highlight w:val="none"/>
          <w:lang w:val="en-US" w:eastAsia="zh-CN"/>
        </w:rPr>
      </w:pPr>
    </w:p>
    <w:p w14:paraId="7B7FE30D">
      <w:pPr>
        <w:rPr>
          <w:rFonts w:hint="eastAsia" w:hAnsi="Times New Roman" w:eastAsia="方正仿宋简体" w:cs="Times New Roman"/>
          <w:b/>
          <w:bCs/>
          <w:i w:val="0"/>
          <w:iCs w:val="0"/>
          <w:caps w:val="0"/>
          <w:color w:val="auto"/>
          <w:spacing w:val="0"/>
          <w:sz w:val="32"/>
          <w:szCs w:val="32"/>
          <w:highlight w:val="none"/>
          <w:lang w:val="en-US" w:eastAsia="zh-CN"/>
        </w:rPr>
      </w:pPr>
    </w:p>
    <w:p w14:paraId="6F40497E">
      <w:pPr>
        <w:numPr>
          <w:ilvl w:val="0"/>
          <w:numId w:val="0"/>
        </w:numPr>
        <w:rPr>
          <w:rFonts w:hint="default" w:hAnsi="Times New Roman" w:eastAsia="方正仿宋简体" w:cs="Times New Roman"/>
          <w:b/>
          <w:bCs/>
          <w:i w:val="0"/>
          <w:iCs w:val="0"/>
          <w:caps w:val="0"/>
          <w:color w:val="auto"/>
          <w:spacing w:val="0"/>
          <w:sz w:val="32"/>
          <w:szCs w:val="32"/>
          <w:highlight w:val="none"/>
          <w:lang w:val="en-US" w:eastAsia="zh-CN"/>
        </w:rPr>
      </w:pPr>
    </w:p>
    <w:p w14:paraId="2A535E2D">
      <w:pPr>
        <w:rPr>
          <w:rFonts w:hint="eastAsia" w:hAnsi="Times New Roman" w:eastAsia="方正仿宋简体" w:cs="Times New Roman"/>
          <w:b/>
          <w:bCs/>
          <w:i w:val="0"/>
          <w:iCs w:val="0"/>
          <w:caps w:val="0"/>
          <w:color w:val="auto"/>
          <w:spacing w:val="0"/>
          <w:sz w:val="32"/>
          <w:szCs w:val="32"/>
          <w:highlight w:val="none"/>
          <w:lang w:val="en-US" w:eastAsia="zh-CN"/>
        </w:rPr>
      </w:pPr>
    </w:p>
    <w:p w14:paraId="6F898E86">
      <w:pPr>
        <w:rPr>
          <w:rFonts w:hint="eastAsia" w:hAnsi="Times New Roman" w:eastAsia="方正仿宋简体" w:cs="Times New Roman"/>
          <w:b/>
          <w:bCs/>
          <w:i w:val="0"/>
          <w:iCs w:val="0"/>
          <w:caps w:val="0"/>
          <w:color w:val="auto"/>
          <w:spacing w:val="0"/>
          <w:sz w:val="32"/>
          <w:szCs w:val="32"/>
          <w:highlight w:val="none"/>
          <w:lang w:val="en-US" w:eastAsia="zh-CN"/>
        </w:rPr>
      </w:pPr>
      <w:r>
        <w:rPr>
          <w:rFonts w:hint="eastAsia" w:hAnsi="Times New Roman" w:eastAsia="方正仿宋简体" w:cs="Times New Roman"/>
          <w:b/>
          <w:bCs/>
          <w:i w:val="0"/>
          <w:iCs w:val="0"/>
          <w:caps w:val="0"/>
          <w:color w:val="auto"/>
          <w:spacing w:val="0"/>
          <w:sz w:val="32"/>
          <w:szCs w:val="32"/>
          <w:highlight w:val="none"/>
          <w:lang w:val="en-US" w:eastAsia="zh-CN"/>
        </w:rPr>
        <w:t>附件</w:t>
      </w:r>
      <w:r>
        <w:rPr>
          <w:rFonts w:hint="default" w:ascii="Times New Roman" w:hAnsi="Times New Roman" w:eastAsia="方正仿宋简体" w:cs="Times New Roman"/>
          <w:b/>
          <w:bCs/>
          <w:i w:val="0"/>
          <w:iCs w:val="0"/>
          <w:caps w:val="0"/>
          <w:color w:val="auto"/>
          <w:spacing w:val="0"/>
          <w:sz w:val="32"/>
          <w:szCs w:val="32"/>
          <w:highlight w:val="none"/>
          <w:lang w:val="en-US" w:eastAsia="zh-CN"/>
        </w:rPr>
        <w:t>2</w:t>
      </w:r>
    </w:p>
    <w:p w14:paraId="5C5473A8">
      <w:pPr>
        <w:pStyle w:val="10"/>
        <w:jc w:val="center"/>
        <w:rPr>
          <w:rFonts w:hint="default" w:ascii="方正小标宋简体" w:hAnsi="方正小标宋简体" w:eastAsia="方正小标宋简体" w:cs="方正小标宋简体"/>
          <w:b/>
          <w:bCs/>
          <w:i w:val="0"/>
          <w:iCs w:val="0"/>
          <w:caps w:val="0"/>
          <w:color w:val="auto"/>
          <w:spacing w:val="0"/>
          <w:sz w:val="36"/>
          <w:szCs w:val="36"/>
          <w:highlight w:val="none"/>
          <w:lang w:val="en-US" w:eastAsia="zh-CN"/>
        </w:rPr>
      </w:pPr>
      <w:r>
        <w:rPr>
          <w:rFonts w:hint="eastAsia" w:ascii="方正小标宋简体" w:hAnsi="方正小标宋简体" w:eastAsia="方正小标宋简体" w:cs="方正小标宋简体"/>
          <w:b/>
          <w:bCs/>
          <w:i w:val="0"/>
          <w:iCs w:val="0"/>
          <w:caps w:val="0"/>
          <w:color w:val="auto"/>
          <w:spacing w:val="-6"/>
          <w:sz w:val="36"/>
          <w:szCs w:val="36"/>
          <w:highlight w:val="none"/>
          <w:lang w:val="en-US" w:eastAsia="zh-CN"/>
        </w:rPr>
        <w:t>威远县中医医院2026年省级中医优势专科康复科建设购置医用设备参数明细表</w:t>
      </w:r>
    </w:p>
    <w:tbl>
      <w:tblPr>
        <w:tblStyle w:val="11"/>
        <w:tblW w:w="531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68"/>
        <w:gridCol w:w="2970"/>
        <w:gridCol w:w="5677"/>
      </w:tblGrid>
      <w:tr w14:paraId="1A35B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408" w:type="pct"/>
            <w:noWrap w:val="0"/>
            <w:vAlign w:val="center"/>
          </w:tcPr>
          <w:p w14:paraId="40E5CFA1">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pacing w:val="-7"/>
                <w:sz w:val="28"/>
                <w:szCs w:val="28"/>
              </w:rPr>
              <w:t>序号</w:t>
            </w:r>
          </w:p>
        </w:tc>
        <w:tc>
          <w:tcPr>
            <w:tcW w:w="1577" w:type="pct"/>
            <w:noWrap w:val="0"/>
            <w:vAlign w:val="center"/>
          </w:tcPr>
          <w:p w14:paraId="35329212">
            <w:pPr>
              <w:keepNext w:val="0"/>
              <w:keepLines w:val="0"/>
              <w:pageBreakBefore w:val="0"/>
              <w:kinsoku/>
              <w:wordWrap/>
              <w:overflowPunct/>
              <w:topLinePunct w:val="0"/>
              <w:autoSpaceDE/>
              <w:autoSpaceDN/>
              <w:bidi w:val="0"/>
              <w:adjustRightInd/>
              <w:snapToGrid/>
              <w:spacing w:before="81"/>
              <w:ind w:left="101"/>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pacing w:val="-8"/>
                <w:sz w:val="28"/>
                <w:szCs w:val="28"/>
                <w:lang w:val="en-US" w:eastAsia="zh-CN"/>
              </w:rPr>
              <w:t>设备</w:t>
            </w:r>
            <w:r>
              <w:rPr>
                <w:rFonts w:hint="default" w:ascii="Times New Roman" w:hAnsi="Times New Roman" w:eastAsia="方正仿宋简体" w:cs="Times New Roman"/>
                <w:b/>
                <w:bCs/>
                <w:snapToGrid w:val="0"/>
                <w:color w:val="auto"/>
                <w:spacing w:val="-8"/>
                <w:sz w:val="28"/>
                <w:szCs w:val="28"/>
              </w:rPr>
              <w:t>名称</w:t>
            </w:r>
          </w:p>
        </w:tc>
        <w:tc>
          <w:tcPr>
            <w:tcW w:w="3014" w:type="pct"/>
            <w:noWrap w:val="0"/>
            <w:vAlign w:val="center"/>
          </w:tcPr>
          <w:p w14:paraId="03A3F66D">
            <w:pPr>
              <w:keepNext w:val="0"/>
              <w:keepLines w:val="0"/>
              <w:pageBreakBefore w:val="0"/>
              <w:kinsoku/>
              <w:wordWrap/>
              <w:overflowPunct/>
              <w:topLinePunct w:val="0"/>
              <w:autoSpaceDE/>
              <w:autoSpaceDN/>
              <w:bidi w:val="0"/>
              <w:adjustRightInd/>
              <w:snapToGrid/>
              <w:spacing w:before="142"/>
              <w:ind w:left="10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z w:val="28"/>
                <w:szCs w:val="28"/>
                <w:lang w:val="en-US" w:eastAsia="zh-CN"/>
              </w:rPr>
              <w:t>主要</w:t>
            </w:r>
            <w:r>
              <w:rPr>
                <w:rFonts w:hint="default" w:ascii="Times New Roman" w:hAnsi="Times New Roman" w:eastAsia="方正仿宋简体" w:cs="Times New Roman"/>
                <w:b/>
                <w:bCs/>
                <w:snapToGrid w:val="0"/>
                <w:color w:val="auto"/>
                <w:sz w:val="28"/>
                <w:szCs w:val="28"/>
              </w:rPr>
              <w:t>参数及配置要求</w:t>
            </w:r>
          </w:p>
        </w:tc>
      </w:tr>
      <w:tr w14:paraId="50A7E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6D38E494">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z w:val="28"/>
                <w:szCs w:val="28"/>
              </w:rPr>
              <w:t>1</w:t>
            </w:r>
          </w:p>
        </w:tc>
        <w:tc>
          <w:tcPr>
            <w:tcW w:w="1577" w:type="pct"/>
            <w:noWrap w:val="0"/>
            <w:vAlign w:val="center"/>
          </w:tcPr>
          <w:p w14:paraId="3FA5ACBD">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default" w:ascii="Times New Roman" w:hAnsi="Times New Roman" w:eastAsia="方正仿宋简体" w:cs="Times New Roman"/>
                <w:b/>
                <w:bCs/>
                <w:snapToGrid w:val="0"/>
                <w:color w:val="auto"/>
                <w:sz w:val="28"/>
                <w:szCs w:val="28"/>
                <w:lang w:val="en-US" w:eastAsia="zh-CN"/>
              </w:rPr>
              <w:t>艾灸仪</w:t>
            </w:r>
          </w:p>
        </w:tc>
        <w:tc>
          <w:tcPr>
            <w:tcW w:w="3014" w:type="pct"/>
            <w:noWrap w:val="0"/>
            <w:vAlign w:val="top"/>
          </w:tcPr>
          <w:p w14:paraId="2F171806">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eastAsia"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：无烟悬灸，艾饼加热方式、无明火，对穴位实施温热刺激，起到温通经络、散寒止痛作用；支持智能控温、定时治疗；配置万向支架，可多角度调节、定点悬停定位；配备双重过热保护装置；支持遥控器操作。</w:t>
            </w:r>
          </w:p>
          <w:p w14:paraId="7B5D988E">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：二类医疗器械；设备组成包含灸头、支撑架、控制器、遥控器；温度多档位可调；治疗设定时间范围 1min～99min；360° 万向悬停支架；艾饼加热无烟灸疗模式；配套遥控器；提供医疗器械注册证。</w:t>
            </w:r>
          </w:p>
          <w:p w14:paraId="72948611">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sz w:val="24"/>
                <w:szCs w:val="24"/>
                <w:vertAlign w:val="baseline"/>
                <w:lang w:val="en-US"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：用于中医穴位艾灸辅助治疗，适用于颈肩腰腿痛、软组织劳损、寒湿痹痛等疼痛类康复。</w:t>
            </w:r>
          </w:p>
        </w:tc>
      </w:tr>
      <w:tr w14:paraId="47010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07EAC020">
            <w:pPr>
              <w:keepNext w:val="0"/>
              <w:keepLines w:val="0"/>
              <w:pageBreakBefore w:val="0"/>
              <w:kinsoku/>
              <w:wordWrap/>
              <w:overflowPunct/>
              <w:topLinePunct w:val="0"/>
              <w:autoSpaceDE/>
              <w:autoSpaceDN/>
              <w:bidi w:val="0"/>
              <w:adjustRightInd/>
              <w:snapToGrid/>
              <w:spacing w:before="141"/>
              <w:ind w:left="95"/>
              <w:jc w:val="center"/>
              <w:textAlignment w:val="auto"/>
              <w:rPr>
                <w:rFonts w:hint="eastAsia"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2</w:t>
            </w:r>
          </w:p>
        </w:tc>
        <w:tc>
          <w:tcPr>
            <w:tcW w:w="1577" w:type="pct"/>
            <w:noWrap w:val="0"/>
            <w:vAlign w:val="center"/>
          </w:tcPr>
          <w:p w14:paraId="3CD47323">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电子罐疗仪</w:t>
            </w:r>
          </w:p>
        </w:tc>
        <w:tc>
          <w:tcPr>
            <w:tcW w:w="3014" w:type="pct"/>
            <w:noWrap w:val="0"/>
            <w:vAlign w:val="top"/>
          </w:tcPr>
          <w:p w14:paraId="63F5CE5F">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：智能负压罐疗，支持留罐、闪罐、走罐多种罐法；罐内可恒温加热；负压量化可调，自动抽气、自动放气；多通道独立输出，无需明火点火；支持温罐、药罐治疗模式。</w:t>
            </w:r>
          </w:p>
          <w:p w14:paraId="4B275C3F">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：多通道独立输出；负压强度连续可调；吸气、放气程序自动切换；罐体温控加热；内置漏气检测功能；具备过压保护；操作显示屏实时显示负压值、治疗时间等参数；提供医疗器械注册证。</w:t>
            </w:r>
          </w:p>
          <w:p w14:paraId="7283BD93">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vertAlign w:val="baseline"/>
                <w:lang w:val="en-US"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：用于中医罐法康复治疗，适用于软组织损伤、肌筋膜炎、颈肩腰腿痛。</w:t>
            </w:r>
          </w:p>
        </w:tc>
      </w:tr>
      <w:tr w14:paraId="46D6A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33D9D725">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3</w:t>
            </w:r>
          </w:p>
        </w:tc>
        <w:tc>
          <w:tcPr>
            <w:tcW w:w="1577" w:type="pct"/>
            <w:noWrap w:val="0"/>
            <w:vAlign w:val="center"/>
          </w:tcPr>
          <w:p w14:paraId="1CE146B1">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电脑颈椎牵引椅</w:t>
            </w:r>
          </w:p>
        </w:tc>
        <w:tc>
          <w:tcPr>
            <w:tcW w:w="3014" w:type="pct"/>
            <w:noWrap w:val="0"/>
            <w:vAlign w:val="top"/>
          </w:tcPr>
          <w:p w14:paraId="2C629974">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：电脑数字化控制颈椎牵引；具备持续牵引、间歇牵引两种工作模式；牵引力自动补偿；设置安全过载保护，配备急停装置。</w:t>
            </w:r>
          </w:p>
          <w:p w14:paraId="6B0F4F81">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：供电 AC220V，50Hz；牵引力调节范围 0N～300N；牵引行程 0mm～250mm；牵引时间 0min～60min；间歇时间 0s～90s；牵引角度调节范围 0°～15°；拉力过载自动停机保护；座椅结构稳固、防滑；配置紧急停止按键。</w:t>
            </w:r>
          </w:p>
          <w:p w14:paraId="3252C888">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vertAlign w:val="baseline"/>
                <w:lang w:val="en-US" w:eastAsia="zh-CN"/>
              </w:rPr>
            </w:pPr>
            <w:r>
              <w:rPr>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：用于颈椎减压牵引治疗，适用于颈椎病、颈椎间盘突出、颈椎小关节紊乱、颈肌痉挛。</w:t>
            </w:r>
          </w:p>
        </w:tc>
      </w:tr>
      <w:tr w14:paraId="0A712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50FEE185">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4</w:t>
            </w:r>
          </w:p>
        </w:tc>
        <w:tc>
          <w:tcPr>
            <w:tcW w:w="1577" w:type="pct"/>
            <w:noWrap w:val="0"/>
            <w:vAlign w:val="center"/>
          </w:tcPr>
          <w:p w14:paraId="7FE7DBFA">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电脑腰椎牵引床</w:t>
            </w:r>
          </w:p>
        </w:tc>
        <w:tc>
          <w:tcPr>
            <w:tcW w:w="3014" w:type="pct"/>
            <w:noWrap w:val="0"/>
            <w:vAlign w:val="top"/>
          </w:tcPr>
          <w:p w14:paraId="599F3663">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：电脑数字化控制腰椎牵引；支持持续牵引、间歇牵引、成角牵引模式；牵引力自动补偿；腰部可选配热敷功能；多重安全防护。</w:t>
            </w:r>
          </w:p>
          <w:p w14:paraId="2BEE2223">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：供电 AC220V，50Hz；腰椎牵引力 0N～980N；牵引行程 0mm～200mm；治疗总时间 0min～60min；间歇时间 0s～90s；可选腰部加热，控温 55℃±3℃；拉力超限自动保护；床体承重≥1500N；可存储多组治疗处方；提供医疗器械注册证。</w:t>
            </w:r>
          </w:p>
          <w:p w14:paraId="790D936D">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lang w:val="en-US"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：用于脊柱减压康复治疗，适用于腰椎间盘突出症、腰肌劳损、腰椎小关节紊乱、急性腰扭伤。</w:t>
            </w:r>
          </w:p>
        </w:tc>
      </w:tr>
      <w:tr w14:paraId="6B9F9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323D82EA">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5</w:t>
            </w:r>
          </w:p>
        </w:tc>
        <w:tc>
          <w:tcPr>
            <w:tcW w:w="1577" w:type="pct"/>
            <w:noWrap w:val="0"/>
            <w:vAlign w:val="center"/>
          </w:tcPr>
          <w:p w14:paraId="1CAE4DDA">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偏振光治疗仪（红外偏振光）</w:t>
            </w:r>
          </w:p>
        </w:tc>
        <w:tc>
          <w:tcPr>
            <w:tcW w:w="3014" w:type="pct"/>
            <w:noWrap w:val="0"/>
            <w:vAlign w:val="top"/>
          </w:tcPr>
          <w:p w14:paraId="47D56798">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：深层偏振光靶向照射，实现镇痛、抗炎、消肿效果；双通道独立输出；内置多种治疗模式，可搭配多种规格治疗头；可用于神经节、疼痛点、穴位照射治疗。</w:t>
            </w:r>
          </w:p>
          <w:p w14:paraId="52D838EB">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：光谱波长 600nm～1600nm；偏振度≥90%；组织有效穿透深度≥5cm；双通道功率独立可调；输出功率 10%～100% 连续可调；治疗时间 1min～20min；支持连续输出、间歇脉冲输出模式；万向阻尼支架；具备超温、过载保护；可配置多种规格治疗头；提供医疗器械注册证。</w:t>
            </w:r>
          </w:p>
          <w:p w14:paraId="095C61A8">
            <w:pPr>
              <w:keepNext w:val="0"/>
              <w:keepLines w:val="0"/>
              <w:widowControl/>
              <w:numPr>
                <w:ilvl w:val="0"/>
                <w:numId w:val="0"/>
              </w:numPr>
              <w:suppressLineNumbers w:val="0"/>
              <w:spacing w:before="100" w:beforeAutospacing="1" w:after="100" w:afterAutospacing="1"/>
              <w:rPr>
                <w:rFonts w:hint="eastAsia" w:ascii="Times New Roman" w:hAnsi="Times New Roman" w:eastAsia="方正仿宋简体" w:cs="Times New Roman"/>
                <w:b/>
                <w:bCs w:val="0"/>
                <w:sz w:val="24"/>
                <w:szCs w:val="24"/>
                <w:lang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：适用于各类软组织疼痛、神经痛、肩周炎、腰腿痛、带状疱疹后遗神经痛、术后创面修复</w:t>
            </w:r>
            <w:r>
              <w:rPr>
                <w:rFonts w:hint="eastAsia" w:ascii="Times New Roman" w:hAnsi="Times New Roman" w:eastAsia="方正仿宋简体" w:cs="Times New Roman"/>
                <w:b/>
                <w:bCs w:val="0"/>
                <w:sz w:val="24"/>
                <w:szCs w:val="24"/>
                <w:lang w:eastAsia="zh-CN"/>
              </w:rPr>
              <w:t>。</w:t>
            </w:r>
          </w:p>
        </w:tc>
      </w:tr>
      <w:tr w14:paraId="61E67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07F5EE3D">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6</w:t>
            </w:r>
          </w:p>
        </w:tc>
        <w:tc>
          <w:tcPr>
            <w:tcW w:w="1577" w:type="pct"/>
            <w:noWrap w:val="0"/>
            <w:vAlign w:val="center"/>
          </w:tcPr>
          <w:p w14:paraId="74B006E1">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超声波治疗仪</w:t>
            </w:r>
          </w:p>
        </w:tc>
        <w:tc>
          <w:tcPr>
            <w:tcW w:w="3014" w:type="pct"/>
            <w:noWrap w:val="0"/>
            <w:vAlign w:val="top"/>
          </w:tcPr>
          <w:p w14:paraId="55A541D2">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：无创聚焦超声理疗，对软组织痛点靶向干预，镇痛、松解软组织粘连；可视化操作界面，治疗枪支持定点或移动扫掠治疗；内置多套预设临床处方；配备多重安全防护；二类医用超声理疗设备。</w:t>
            </w:r>
          </w:p>
          <w:p w14:paraId="0664479C">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二类医疗器械；设备组成：外壳、电源系统、超声驱动系统、治疗枪、控制系统、显示系统；内置多套临床预设治疗处方；超声输出功率连续可调；超时、超温双重安全保护；彩色显示屏，实时展示治疗参数；具备治疗计时功能；提供医疗器械注册证。</w:t>
            </w:r>
          </w:p>
          <w:p w14:paraId="60666604">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：用于颈肩部、腰腹部、四肢部位慢性软组织损伤性疼痛，肌筋膜炎、运动损伤、软组织劳损的康复理疗。</w:t>
            </w:r>
          </w:p>
        </w:tc>
      </w:tr>
      <w:tr w14:paraId="61F0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188D457F">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7</w:t>
            </w:r>
          </w:p>
        </w:tc>
        <w:tc>
          <w:tcPr>
            <w:tcW w:w="1577" w:type="pct"/>
            <w:noWrap w:val="0"/>
            <w:vAlign w:val="center"/>
          </w:tcPr>
          <w:p w14:paraId="6D46D2F9">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红外线治疗仪</w:t>
            </w:r>
          </w:p>
        </w:tc>
        <w:tc>
          <w:tcPr>
            <w:tcW w:w="3014" w:type="pct"/>
            <w:noWrap w:val="0"/>
            <w:vAlign w:val="top"/>
          </w:tcPr>
          <w:p w14:paraId="0C688FB3">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：红外热辐射温热理疗，改善局部血液循环，起到消肿、消炎、镇痛作用；支架多角度调节定位；支持定时治疗，过热保护；落地式结构，操作简便，适合多床位理疗使用。</w:t>
            </w:r>
          </w:p>
          <w:p w14:paraId="387F5FD3">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：二类医疗器械；供电 AC220V；红外热辐射输出；治疗时间 0min～60min 可调；落地支架，多角度调节定位；过热断电保护；提供医疗器械注册证。</w:t>
            </w:r>
          </w:p>
          <w:p w14:paraId="0E9CF994">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kern w:val="0"/>
                <w:sz w:val="24"/>
                <w:szCs w:val="24"/>
                <w:lang w:val="en-US" w:eastAsia="zh-CN" w:bidi="ar"/>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：用于常规温热康复理疗，适用于软组织挫伤、关节炎、腰肌劳损、局部炎症肿胀</w:t>
            </w:r>
          </w:p>
        </w:tc>
      </w:tr>
    </w:tbl>
    <w:p w14:paraId="2E9F2A84">
      <w:pPr>
        <w:rPr>
          <w:rFonts w:hint="default" w:ascii="Times New Roman" w:hAnsi="Times New Roman" w:eastAsia="方正仿宋简体" w:cs="Times New Roman"/>
          <w:b/>
          <w:bCs/>
          <w:color w:val="auto"/>
          <w:kern w:val="2"/>
          <w:sz w:val="32"/>
          <w:szCs w:val="32"/>
          <w:highlight w:val="none"/>
          <w:lang w:val="en-US" w:eastAsia="zh-CN" w:bidi="ar-SA"/>
        </w:rPr>
      </w:pPr>
    </w:p>
    <w:p w14:paraId="32AFD899">
      <w:pPr>
        <w:rPr>
          <w:rFonts w:hint="default" w:ascii="Times New Roman" w:hAnsi="Times New Roman" w:eastAsia="方正仿宋简体" w:cs="Times New Roman"/>
          <w:b/>
          <w:bCs/>
          <w:color w:val="auto"/>
          <w:kern w:val="2"/>
          <w:sz w:val="32"/>
          <w:szCs w:val="32"/>
          <w:highlight w:val="none"/>
          <w:lang w:val="en-US" w:eastAsia="zh-CN" w:bidi="ar-SA"/>
        </w:rPr>
      </w:pPr>
    </w:p>
    <w:p w14:paraId="65754BB7">
      <w:pPr>
        <w:rPr>
          <w:rFonts w:hint="default" w:ascii="Times New Roman" w:hAnsi="Times New Roman" w:eastAsia="方正仿宋简体" w:cs="Times New Roman"/>
          <w:b/>
          <w:bCs/>
          <w:color w:val="auto"/>
          <w:kern w:val="2"/>
          <w:sz w:val="32"/>
          <w:szCs w:val="32"/>
          <w:highlight w:val="none"/>
          <w:lang w:val="en-US" w:eastAsia="zh-CN" w:bidi="ar-SA"/>
        </w:rPr>
      </w:pPr>
    </w:p>
    <w:p w14:paraId="74D499CB">
      <w:pPr>
        <w:rPr>
          <w:rFonts w:hint="default" w:ascii="Times New Roman" w:hAnsi="Times New Roman" w:eastAsia="方正仿宋简体" w:cs="Times New Roman"/>
          <w:b/>
          <w:bCs/>
          <w:color w:val="auto"/>
          <w:kern w:val="2"/>
          <w:sz w:val="32"/>
          <w:szCs w:val="32"/>
          <w:highlight w:val="none"/>
          <w:lang w:val="en-US" w:eastAsia="zh-CN" w:bidi="ar-SA"/>
        </w:rPr>
      </w:pPr>
    </w:p>
    <w:p w14:paraId="220DCB18">
      <w:pPr>
        <w:rPr>
          <w:rFonts w:hint="default" w:ascii="Times New Roman" w:hAnsi="Times New Roman" w:eastAsia="方正仿宋简体" w:cs="Times New Roman"/>
          <w:b/>
          <w:bCs/>
          <w:color w:val="auto"/>
          <w:kern w:val="2"/>
          <w:sz w:val="32"/>
          <w:szCs w:val="32"/>
          <w:highlight w:val="none"/>
          <w:lang w:val="en-US" w:eastAsia="zh-CN" w:bidi="ar-SA"/>
        </w:rPr>
      </w:pPr>
    </w:p>
    <w:p w14:paraId="681D8965">
      <w:pPr>
        <w:rPr>
          <w:rFonts w:hint="default" w:ascii="Times New Roman" w:hAnsi="Times New Roman" w:eastAsia="方正仿宋简体" w:cs="Times New Roman"/>
          <w:b/>
          <w:bCs/>
          <w:color w:val="auto"/>
          <w:kern w:val="2"/>
          <w:sz w:val="32"/>
          <w:szCs w:val="32"/>
          <w:highlight w:val="none"/>
          <w:lang w:val="en-US" w:eastAsia="zh-CN" w:bidi="ar-SA"/>
        </w:rPr>
      </w:pPr>
    </w:p>
    <w:p w14:paraId="0D82C706">
      <w:pPr>
        <w:rPr>
          <w:rFonts w:hint="default" w:ascii="Times New Roman" w:hAnsi="Times New Roman" w:eastAsia="方正仿宋简体" w:cs="Times New Roman"/>
          <w:b/>
          <w:bCs/>
          <w:color w:val="auto"/>
          <w:kern w:val="2"/>
          <w:sz w:val="32"/>
          <w:szCs w:val="32"/>
          <w:highlight w:val="none"/>
          <w:lang w:val="en-US" w:eastAsia="zh-CN" w:bidi="ar-SA"/>
        </w:rPr>
      </w:pPr>
    </w:p>
    <w:p w14:paraId="1DDF12ED">
      <w:pPr>
        <w:rPr>
          <w:rFonts w:hint="default" w:ascii="Times New Roman" w:hAnsi="Times New Roman" w:eastAsia="方正仿宋简体" w:cs="Times New Roman"/>
          <w:b/>
          <w:bCs/>
          <w:color w:val="auto"/>
          <w:kern w:val="2"/>
          <w:sz w:val="32"/>
          <w:szCs w:val="32"/>
          <w:highlight w:val="none"/>
          <w:lang w:val="en-US" w:eastAsia="zh-CN" w:bidi="ar-SA"/>
        </w:rPr>
      </w:pPr>
    </w:p>
    <w:p w14:paraId="6D2B725D">
      <w:pPr>
        <w:rPr>
          <w:rFonts w:hint="default" w:ascii="Times New Roman" w:hAnsi="Times New Roman" w:eastAsia="方正仿宋简体" w:cs="Times New Roman"/>
          <w:b/>
          <w:bCs/>
          <w:color w:val="auto"/>
          <w:kern w:val="2"/>
          <w:sz w:val="32"/>
          <w:szCs w:val="32"/>
          <w:highlight w:val="none"/>
          <w:lang w:val="en-US" w:eastAsia="zh-CN" w:bidi="ar-SA"/>
        </w:rPr>
      </w:pPr>
    </w:p>
    <w:p w14:paraId="591BA6AD">
      <w:pPr>
        <w:rPr>
          <w:rFonts w:hint="default" w:ascii="Times New Roman" w:hAnsi="Times New Roman" w:eastAsia="方正仿宋简体" w:cs="Times New Roman"/>
          <w:b/>
          <w:bCs/>
          <w:color w:val="auto"/>
          <w:kern w:val="2"/>
          <w:sz w:val="32"/>
          <w:szCs w:val="32"/>
          <w:highlight w:val="none"/>
          <w:lang w:val="en-US" w:eastAsia="zh-CN" w:bidi="ar-SA"/>
        </w:rPr>
      </w:pPr>
    </w:p>
    <w:p w14:paraId="6C755BB6">
      <w:pPr>
        <w:rPr>
          <w:rFonts w:hint="default" w:ascii="Times New Roman" w:hAnsi="Times New Roman" w:eastAsia="方正仿宋简体" w:cs="Times New Roman"/>
          <w:b/>
          <w:bCs/>
          <w:color w:val="auto"/>
          <w:kern w:val="2"/>
          <w:sz w:val="32"/>
          <w:szCs w:val="32"/>
          <w:highlight w:val="none"/>
          <w:lang w:val="en-US" w:eastAsia="zh-CN" w:bidi="ar-SA"/>
        </w:rPr>
      </w:pPr>
    </w:p>
    <w:p w14:paraId="364453F3">
      <w:pPr>
        <w:rPr>
          <w:rFonts w:hint="default" w:ascii="Times New Roman" w:hAnsi="Times New Roman" w:eastAsia="方正仿宋简体" w:cs="Times New Roman"/>
          <w:b/>
          <w:bCs/>
          <w:color w:val="auto"/>
          <w:kern w:val="2"/>
          <w:sz w:val="32"/>
          <w:szCs w:val="32"/>
          <w:highlight w:val="none"/>
          <w:lang w:val="en-US" w:eastAsia="zh-CN" w:bidi="ar-SA"/>
        </w:rPr>
      </w:pPr>
    </w:p>
    <w:p w14:paraId="19C29A1B">
      <w:pPr>
        <w:rPr>
          <w:rFonts w:hint="default" w:ascii="Times New Roman" w:hAnsi="Times New Roman" w:eastAsia="方正仿宋简体" w:cs="Times New Roman"/>
          <w:b/>
          <w:bCs/>
          <w:color w:val="auto"/>
          <w:kern w:val="2"/>
          <w:sz w:val="32"/>
          <w:szCs w:val="32"/>
          <w:highlight w:val="none"/>
          <w:lang w:val="en-US" w:eastAsia="zh-CN" w:bidi="ar-SA"/>
        </w:rPr>
      </w:pPr>
    </w:p>
    <w:p w14:paraId="55DAA802">
      <w:pPr>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3</w:t>
      </w:r>
    </w:p>
    <w:p w14:paraId="656AFF2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参加本次市场调研前的信用记录未列入失信执行人名单、重大税收违法案件当事人名单，无政府采购严重违法失信等行为的承诺函</w:t>
      </w:r>
    </w:p>
    <w:p w14:paraId="11BDA89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A13425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463ECC6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u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auto"/>
          <w:kern w:val="2"/>
          <w:sz w:val="32"/>
          <w:szCs w:val="32"/>
          <w:highlight w:val="none"/>
          <w:lang w:val="en-US" w:eastAsia="zh-CN" w:bidi="ar-SA"/>
        </w:rPr>
        <w:t>参加</w:t>
      </w:r>
      <w:r>
        <w:rPr>
          <w:rFonts w:hint="default" w:ascii="Times New Roman" w:hAnsi="Times New Roman" w:eastAsia="方正仿宋简体" w:cs="Times New Roman"/>
          <w:b/>
          <w:bCs/>
          <w:i w:val="0"/>
          <w:iCs w:val="0"/>
          <w:caps w:val="0"/>
          <w:color w:val="auto"/>
          <w:spacing w:val="0"/>
          <w:kern w:val="0"/>
          <w:sz w:val="32"/>
          <w:szCs w:val="32"/>
          <w:highlight w:val="none"/>
          <w:u w:val="none"/>
          <w:lang w:val="en-US" w:eastAsia="zh-CN" w:bidi="ar"/>
        </w:rPr>
        <w:t>威远县紧密型县域医共体管理委员会</w:t>
      </w:r>
      <w:r>
        <w:rPr>
          <w:rFonts w:hint="eastAsia" w:ascii="方正仿宋简体" w:hAnsi="方正仿宋简体" w:eastAsia="方正仿宋简体" w:cs="方正仿宋简体"/>
          <w:b/>
          <w:bCs/>
          <w:color w:val="auto"/>
          <w:kern w:val="2"/>
          <w:sz w:val="32"/>
          <w:szCs w:val="32"/>
          <w:highlight w:val="none"/>
          <w:u w:val="single"/>
          <w:lang w:val="en-US" w:eastAsia="zh-CN" w:bidi="ar-SA"/>
        </w:rPr>
        <w:t>关于威远县中医医院</w:t>
      </w:r>
      <w:r>
        <w:rPr>
          <w:rFonts w:hint="default" w:ascii="Times New Roman" w:hAnsi="Times New Roman" w:eastAsia="方正仿宋简体" w:cs="Times New Roman"/>
          <w:b/>
          <w:bCs/>
          <w:color w:val="auto"/>
          <w:kern w:val="2"/>
          <w:sz w:val="32"/>
          <w:szCs w:val="32"/>
          <w:highlight w:val="none"/>
          <w:u w:val="single"/>
          <w:lang w:val="en-US" w:eastAsia="zh-CN" w:bidi="ar-SA"/>
        </w:rPr>
        <w:t>2026</w:t>
      </w:r>
      <w:r>
        <w:rPr>
          <w:rFonts w:hint="eastAsia" w:ascii="方正仿宋简体" w:hAnsi="方正仿宋简体" w:eastAsia="方正仿宋简体" w:cs="方正仿宋简体"/>
          <w:b/>
          <w:bCs/>
          <w:color w:val="auto"/>
          <w:kern w:val="2"/>
          <w:sz w:val="32"/>
          <w:szCs w:val="32"/>
          <w:highlight w:val="none"/>
          <w:u w:val="single"/>
          <w:lang w:val="en-US" w:eastAsia="zh-CN" w:bidi="ar-SA"/>
        </w:rPr>
        <w:t>年省级中医优势专科建设购置医用设备</w:t>
      </w:r>
      <w:r>
        <w:rPr>
          <w:rFonts w:hint="eastAsia" w:ascii="Times New Roman" w:hAnsi="Times New Roman" w:eastAsia="方正仿宋简体" w:cs="Times New Roman"/>
          <w:b/>
          <w:bCs/>
          <w:i w:val="0"/>
          <w:iCs w:val="0"/>
          <w:caps w:val="0"/>
          <w:color w:val="auto"/>
          <w:spacing w:val="0"/>
          <w:sz w:val="32"/>
          <w:szCs w:val="32"/>
          <w:highlight w:val="none"/>
          <w:u w:val="none"/>
          <w:lang w:val="en-US" w:eastAsia="zh-CN"/>
        </w:rPr>
        <w:t>控制价</w:t>
      </w:r>
      <w:r>
        <w:rPr>
          <w:rFonts w:hint="eastAsia" w:ascii="方正仿宋简体" w:hAnsi="方正仿宋简体" w:eastAsia="方正仿宋简体" w:cs="方正仿宋简体"/>
          <w:b/>
          <w:bCs/>
          <w:color w:val="auto"/>
          <w:kern w:val="2"/>
          <w:sz w:val="32"/>
          <w:szCs w:val="32"/>
          <w:highlight w:val="none"/>
          <w:u w:val="none"/>
          <w:lang w:val="en-US" w:eastAsia="zh-CN" w:bidi="ar-SA"/>
        </w:rPr>
        <w:t>的调研活动，现承诺我公司在参加本次市场调研前的信用记录未列入失信执行人名单、重大税收违法案件当事人名单，无政府采购严重违法失信等行为。</w:t>
      </w:r>
    </w:p>
    <w:p w14:paraId="6AECF036">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1A8BE2F9">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1FC9951D">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A316001">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B83024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 应 商 名 称（加盖公章）：</w:t>
      </w:r>
    </w:p>
    <w:p w14:paraId="02ABEB43">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A6069F9">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009852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B7A1C6C">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0B52936E">
      <w:pPr>
        <w:rPr>
          <w:rFonts w:hint="eastAsia" w:ascii="方正仿宋简体" w:hAnsi="方正仿宋简体" w:eastAsia="方正仿宋简体" w:cs="方正仿宋简体"/>
          <w:b/>
          <w:bCs/>
          <w:color w:val="auto"/>
          <w:kern w:val="2"/>
          <w:sz w:val="32"/>
          <w:szCs w:val="32"/>
          <w:highlight w:val="none"/>
          <w:lang w:val="en-US" w:eastAsia="zh-CN" w:bidi="ar-SA"/>
        </w:rPr>
      </w:pPr>
    </w:p>
    <w:p w14:paraId="4317EA92">
      <w:pPr>
        <w:jc w:val="both"/>
        <w:rPr>
          <w:rFonts w:hint="default" w:ascii="方正小标宋简体" w:hAnsi="方正小标宋简体" w:eastAsia="方正小标宋简体" w:cs="方正小标宋简体"/>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4</w:t>
      </w:r>
    </w:p>
    <w:p w14:paraId="73315BE1">
      <w:pPr>
        <w:jc w:val="center"/>
        <w:rPr>
          <w:rFonts w:hint="default" w:ascii="Times New Roman" w:hAnsi="Times New Roman" w:eastAsia="方正仿宋简体" w:cs="Times New Roman"/>
          <w:b/>
          <w:bCs/>
          <w:color w:val="auto"/>
          <w:sz w:val="32"/>
          <w:szCs w:val="32"/>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047BC34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40AF10F6">
      <w:pPr>
        <w:pStyle w:val="12"/>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5C88E7A4">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eastAsia" w:ascii="Times New Roman" w:hAnsi="Times New Roman" w:eastAsia="方正仿宋简体" w:cs="Times New Roman"/>
          <w:b/>
          <w:bCs/>
          <w:color w:val="auto"/>
          <w:sz w:val="32"/>
          <w:szCs w:val="32"/>
          <w:highlight w:val="none"/>
          <w:lang w:val="en-US" w:eastAsia="zh-CN"/>
        </w:rPr>
        <w:t xml:space="preserve">    </w:t>
      </w:r>
      <w:r>
        <w:rPr>
          <w:rFonts w:hint="default" w:ascii="Times New Roman" w:hAnsi="Times New Roman" w:eastAsia="方正仿宋简体" w:cs="Times New Roman"/>
          <w:b/>
          <w:bCs/>
          <w:color w:val="auto"/>
          <w:sz w:val="32"/>
          <w:szCs w:val="32"/>
          <w:highlight w:val="none"/>
        </w:rPr>
        <w:t>（二）具有良好的商业信誉和健全的财务会计制度；</w:t>
      </w:r>
    </w:p>
    <w:p w14:paraId="28F838B7">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（三）具有履行合同所必需的设备和专业技术能力； </w:t>
      </w:r>
    </w:p>
    <w:p w14:paraId="0EF07905">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 xml:space="preserve">四）有依法缴纳税收和社会保障资金的良好记录； </w:t>
      </w:r>
    </w:p>
    <w:p w14:paraId="0ACCF259">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23616EEC">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1C71324E">
      <w:pPr>
        <w:pStyle w:val="12"/>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56107F3A">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1929D418">
      <w:pPr>
        <w:keepNext w:val="0"/>
        <w:keepLines w:val="0"/>
        <w:pageBreakBefore w:val="0"/>
        <w:kinsoku/>
        <w:wordWrap/>
        <w:overflowPunct/>
        <w:topLinePunct w:val="0"/>
        <w:autoSpaceDE/>
        <w:autoSpaceDN/>
        <w:bidi w:val="0"/>
        <w:adjustRightInd/>
        <w:snapToGrid/>
        <w:spacing w:line="580" w:lineRule="exact"/>
        <w:textAlignment w:val="auto"/>
        <w:rPr>
          <w:rFonts w:hint="eastAsia" w:ascii="Times New Roman" w:hAnsi="Times New Roman" w:eastAsia="方正仿宋简体" w:cs="Times New Roman"/>
          <w:b/>
          <w:bCs/>
          <w:color w:val="auto"/>
          <w:sz w:val="32"/>
          <w:szCs w:val="32"/>
          <w:highlight w:val="none"/>
          <w:lang w:val="en-US" w:eastAsia="zh-CN"/>
        </w:rPr>
      </w:pPr>
    </w:p>
    <w:p w14:paraId="1B50341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3962928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5E6F317F">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0D69BB2B">
      <w:pPr>
        <w:pStyle w:val="2"/>
        <w:rPr>
          <w:rFonts w:hint="default" w:ascii="Times New Roman" w:hAnsi="Times New Roman" w:eastAsia="方正仿宋简体" w:cs="Times New Roman"/>
          <w:b/>
          <w:bCs/>
          <w:sz w:val="32"/>
          <w:szCs w:val="32"/>
          <w:lang w:val="en-US" w:eastAsia="zh-CN"/>
        </w:rPr>
      </w:pPr>
    </w:p>
    <w:p w14:paraId="12C94AA5">
      <w:pPr>
        <w:pStyle w:val="2"/>
        <w:rPr>
          <w:rFonts w:hint="default" w:ascii="Times New Roman" w:hAnsi="Times New Roman" w:eastAsia="方正仿宋简体" w:cs="Times New Roman"/>
          <w:b/>
          <w:bCs/>
          <w:sz w:val="32"/>
          <w:szCs w:val="32"/>
          <w:lang w:val="en-US" w:eastAsia="zh-CN"/>
        </w:rPr>
      </w:pPr>
      <w:bookmarkStart w:id="0" w:name="_GoBack"/>
      <w:bookmarkEnd w:id="0"/>
      <w:r>
        <w:rPr>
          <w:rFonts w:hint="default" w:ascii="Times New Roman" w:hAnsi="Times New Roman" w:eastAsia="方正仿宋简体" w:cs="Times New Roman"/>
          <w:b/>
          <w:bCs/>
          <w:sz w:val="32"/>
          <w:szCs w:val="32"/>
          <w:lang w:val="en-US" w:eastAsia="zh-CN"/>
        </w:rPr>
        <w:t>附件5</w:t>
      </w:r>
    </w:p>
    <w:p w14:paraId="523F31B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hint="default" w:ascii="Times New Roman" w:hAnsi="Times New Roman" w:eastAsia="方正小标宋简体" w:cs="Times New Roman"/>
          <w:b/>
          <w:bCs/>
          <w:color w:val="auto"/>
          <w:spacing w:val="5"/>
          <w:sz w:val="44"/>
          <w:szCs w:val="44"/>
          <w:lang w:val="en-US" w:eastAsia="en-US"/>
        </w:rPr>
      </w:pPr>
      <w:r>
        <w:rPr>
          <w:rFonts w:hint="default" w:ascii="Times New Roman" w:hAnsi="Times New Roman" w:eastAsia="方正小标宋简体" w:cs="Times New Roman"/>
          <w:b/>
          <w:bCs/>
          <w:color w:val="auto"/>
          <w:spacing w:val="5"/>
          <w:sz w:val="44"/>
          <w:szCs w:val="44"/>
          <w:lang w:val="en-US" w:eastAsia="zh-CN"/>
        </w:rPr>
        <w:t>威远县</w:t>
      </w:r>
      <w:r>
        <w:rPr>
          <w:rFonts w:hint="eastAsia" w:ascii="Times New Roman" w:hAnsi="Times New Roman" w:eastAsia="方正小标宋简体" w:cs="Times New Roman"/>
          <w:b/>
          <w:bCs/>
          <w:color w:val="auto"/>
          <w:spacing w:val="5"/>
          <w:sz w:val="44"/>
          <w:szCs w:val="44"/>
          <w:lang w:val="en-US" w:eastAsia="zh-CN"/>
        </w:rPr>
        <w:t>中医医院</w:t>
      </w:r>
      <w:r>
        <w:rPr>
          <w:rFonts w:hint="default" w:ascii="Times New Roman" w:hAnsi="Times New Roman" w:eastAsia="方正小标宋简体" w:cs="Times New Roman"/>
          <w:b/>
          <w:bCs/>
          <w:color w:val="auto"/>
          <w:spacing w:val="5"/>
          <w:sz w:val="44"/>
          <w:szCs w:val="44"/>
          <w:lang w:val="en-US" w:eastAsia="zh-CN"/>
        </w:rPr>
        <w:t>2026</w:t>
      </w:r>
      <w:r>
        <w:rPr>
          <w:rFonts w:hint="eastAsia" w:ascii="Times New Roman" w:hAnsi="Times New Roman" w:eastAsia="方正小标宋简体" w:cs="Times New Roman"/>
          <w:b/>
          <w:bCs/>
          <w:color w:val="auto"/>
          <w:spacing w:val="5"/>
          <w:sz w:val="44"/>
          <w:szCs w:val="44"/>
          <w:lang w:val="en-US" w:eastAsia="zh-CN"/>
        </w:rPr>
        <w:t>年省级中医优势专科康复科建设购置医用设备</w:t>
      </w:r>
      <w:r>
        <w:rPr>
          <w:rFonts w:hint="default" w:ascii="Times New Roman" w:hAnsi="Times New Roman" w:eastAsia="方正小标宋简体" w:cs="Times New Roman"/>
          <w:b/>
          <w:bCs/>
          <w:color w:val="auto"/>
          <w:spacing w:val="5"/>
          <w:sz w:val="44"/>
          <w:szCs w:val="44"/>
          <w:lang w:val="en-US" w:eastAsia="en-US"/>
        </w:rPr>
        <w:t>报价函</w:t>
      </w:r>
    </w:p>
    <w:p w14:paraId="659EB2E0">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黑体简体" w:cs="Times New Roman"/>
          <w:b w:val="0"/>
          <w:bCs w:val="0"/>
          <w:color w:val="auto"/>
          <w:sz w:val="32"/>
          <w:szCs w:val="32"/>
          <w:u w:val="single"/>
          <w:lang w:val="en-US" w:eastAsia="zh-CN"/>
        </w:rPr>
      </w:pPr>
    </w:p>
    <w:p w14:paraId="7BE77D5C">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color w:val="auto"/>
          <w:sz w:val="32"/>
          <w:szCs w:val="32"/>
          <w:u w:val="single"/>
          <w:lang w:val="en-US" w:eastAsia="zh-CN"/>
        </w:rPr>
        <w:t>威远县紧密型县域医共体管理委员会</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6057A88C">
      <w:pPr>
        <w:pStyle w:val="2"/>
        <w:keepNext w:val="0"/>
        <w:keepLines w:val="0"/>
        <w:pageBreakBefore w:val="0"/>
        <w:widowControl/>
        <w:kinsoku w:val="0"/>
        <w:wordWrap/>
        <w:overflowPunct/>
        <w:topLinePunct w:val="0"/>
        <w:autoSpaceDE w:val="0"/>
        <w:autoSpaceDN w:val="0"/>
        <w:bidi w:val="0"/>
        <w:adjustRightInd w:val="0"/>
        <w:snapToGrid w:val="0"/>
        <w:spacing w:line="720" w:lineRule="exact"/>
        <w:ind w:firstLine="667" w:firstLineChars="200"/>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ab/>
      </w:r>
      <w:r>
        <w:rPr>
          <w:rFonts w:hint="default"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eastAsia"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报价单位名称</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就</w:t>
      </w:r>
      <w:r>
        <w:rPr>
          <w:rFonts w:hint="default" w:ascii="Times New Roman" w:hAnsi="Times New Roman" w:eastAsia="方正仿宋简体" w:cs="Times New Roman"/>
          <w:b/>
          <w:bCs/>
          <w:color w:val="auto"/>
          <w:sz w:val="32"/>
          <w:szCs w:val="32"/>
          <w:u w:val="none"/>
          <w:lang w:val="en-US" w:eastAsia="zh-CN"/>
        </w:rPr>
        <w:t>威远县</w:t>
      </w:r>
      <w:r>
        <w:rPr>
          <w:rFonts w:hint="eastAsia" w:ascii="Times New Roman" w:hAnsi="Times New Roman" w:eastAsia="方正仿宋简体" w:cs="Times New Roman"/>
          <w:b/>
          <w:bCs/>
          <w:color w:val="auto"/>
          <w:sz w:val="32"/>
          <w:szCs w:val="32"/>
          <w:u w:val="none"/>
          <w:lang w:val="en-US" w:eastAsia="zh-CN"/>
        </w:rPr>
        <w:t>中医医院2026年省级中医优势专科康复科建设购置医用设备</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报价为人民币</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大写：</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4A71AA8C">
      <w:pPr>
        <w:pStyle w:val="2"/>
        <w:keepNext w:val="0"/>
        <w:keepLines w:val="0"/>
        <w:pageBreakBefore w:val="0"/>
        <w:widowControl/>
        <w:kinsoku w:val="0"/>
        <w:wordWrap/>
        <w:overflowPunct/>
        <w:topLinePunct w:val="0"/>
        <w:autoSpaceDE w:val="0"/>
        <w:autoSpaceDN w:val="0"/>
        <w:bidi w:val="0"/>
        <w:adjustRightInd w:val="0"/>
        <w:snapToGrid w:val="0"/>
        <w:spacing w:line="660" w:lineRule="exact"/>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1E88E9A8">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4901584C">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020A5003">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1A8BB79B">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2D3DF52B">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B80C6D3">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报价单位（加盖公章）：</w:t>
      </w:r>
    </w:p>
    <w:p w14:paraId="328C5E43">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6B5569E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0635E22E">
      <w:pPr>
        <w:pStyle w:val="3"/>
        <w:rPr>
          <w:rFonts w:hint="default"/>
          <w:lang w:val="en-US" w:eastAsia="zh-CN"/>
        </w:rPr>
      </w:pPr>
    </w:p>
    <w:p w14:paraId="66C52356"/>
    <w:sectPr>
      <w:headerReference r:id="rId3" w:type="default"/>
      <w:footerReference r:id="rId4" w:type="default"/>
      <w:pgSz w:w="11906" w:h="16838"/>
      <w:pgMar w:top="2098" w:right="1531" w:bottom="1928" w:left="1531"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EAF668D-CF77-418F-B28A-06FDD67D9B9A}"/>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embedRegular r:id="rId2" w:fontKey="{FA757FDF-A114-41E7-9680-B4F77E6AB6DA}"/>
  </w:font>
  <w:font w:name="方正小标宋简体">
    <w:panose1 w:val="02000000000000000000"/>
    <w:charset w:val="86"/>
    <w:family w:val="auto"/>
    <w:pitch w:val="default"/>
    <w:sig w:usb0="00000001" w:usb1="08000000" w:usb2="00000000" w:usb3="00000000" w:csb0="00040000" w:csb1="00000000"/>
    <w:embedRegular r:id="rId3" w:fontKey="{673A0A03-E822-4DAD-B536-DD239BF85053}"/>
  </w:font>
  <w:font w:name="方正黑体简体">
    <w:panose1 w:val="02000000000000000000"/>
    <w:charset w:val="86"/>
    <w:family w:val="auto"/>
    <w:pitch w:val="default"/>
    <w:sig w:usb0="A00002BF" w:usb1="184F6CFA" w:usb2="00000012" w:usb3="00000000" w:csb0="00040001" w:csb1="00000000"/>
    <w:embedRegular r:id="rId4" w:fontKey="{B57DEC28-856C-4851-9C61-31F819C996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DB9F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DF704F1">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v:imagedata o:title=""/>
              <o:lock v:ext="edit" aspectratio="f"/>
              <v:textbox inset="0mm,0mm,0mm,0mm" style="mso-fit-shape-to-text:t;">
                <w:txbxContent>
                  <w:p w14:paraId="5DF704F1">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1BE9C">
    <w:pPr>
      <w:pStyle w:val="5"/>
      <w:pBdr>
        <w:bottom w:val="none" w:color="auto" w:sz="0" w:space="0"/>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6F5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kern w:val="2"/>
      <w:sz w:val="21"/>
      <w:szCs w:val="24"/>
    </w:rPr>
  </w:style>
  <w:style w:type="paragraph" w:styleId="3">
    <w:name w:val="Date"/>
    <w:basedOn w:val="1"/>
    <w:next w:val="1"/>
    <w:qFormat/>
    <w:uiPriority w:val="0"/>
    <w:rPr>
      <w:color w:val="000000"/>
      <w:kern w:val="0"/>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table" w:customStyle="1" w:styleId="11">
    <w:name w:val="Table Normal"/>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12">
    <w:name w:val="_正文段落"/>
    <w:basedOn w:val="1"/>
    <w:qFormat/>
    <w:uiPriority w:val="0"/>
    <w:pPr>
      <w:spacing w:beforeLines="15" w:afterLines="15" w:line="360" w:lineRule="auto"/>
      <w:ind w:firstLine="200" w:firstLineChars="200"/>
    </w:pPr>
    <w:rPr>
      <w:rFonts w:ascii="宋体" w:eastAsia="仿宋_GB2312"/>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2026-10-29T02:00:12Z</dcterms:created>
  <dc:creator>Administrator</dc:creator>
  <cp:lastModifiedBy>啊</cp:lastModifiedBy>
  <dcterms:modified xsi:type="dcterms:W3CDTF">2026-10-29T02:00:54Z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eyJoZGlkIjoiM2VlZDE1MTI5NjRkODA4MmFhMzkzMjlhMzY1NDVjZjEiLCJ1c2VySWQiOiI0NTg5NTQ3MDQifQ==</vt:lpwstr>
  </property>
  <property fmtid="{D5CDD505-2E9C-101B-9397-08002B2CF9AE}" pid="4" name="ICV">
    <vt:lpwstr>8CC451A9467944BBA1DCC3C26F49EC8A_12</vt:lpwstr>
  </property>
</Properties>
</file>