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49DA0">
      <w:pPr>
        <w:keepNext w:val="0"/>
        <w:keepLines w:val="0"/>
        <w:pageBreakBefore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附件1</w:t>
      </w:r>
    </w:p>
    <w:p w14:paraId="1471DB9B">
      <w:pPr>
        <w:pStyle w:val="10"/>
        <w:ind w:firstLine="723" w:firstLineChars="200"/>
        <w:jc w:val="cente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bidi="ar-SA"/>
        </w:rPr>
      </w:pPr>
      <w: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rPr>
        <w:t>威远县中医医院2026年省级中医优势专科康复科建设购置医用设备明细表</w:t>
      </w:r>
    </w:p>
    <w:tbl>
      <w:tblPr>
        <w:tblStyle w:val="7"/>
        <w:tblpPr w:leftFromText="180" w:rightFromText="180" w:vertAnchor="text" w:horzAnchor="page" w:tblpX="1874" w:tblpY="6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345"/>
        <w:gridCol w:w="1875"/>
        <w:gridCol w:w="2235"/>
      </w:tblGrid>
      <w:tr w14:paraId="3BDE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1B8E8543">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序号</w:t>
            </w:r>
          </w:p>
        </w:tc>
        <w:tc>
          <w:tcPr>
            <w:tcW w:w="3345" w:type="dxa"/>
            <w:noWrap w:val="0"/>
            <w:vAlign w:val="top"/>
          </w:tcPr>
          <w:p w14:paraId="06F9D9C2">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医用设备名称</w:t>
            </w:r>
          </w:p>
        </w:tc>
        <w:tc>
          <w:tcPr>
            <w:tcW w:w="1875" w:type="dxa"/>
            <w:noWrap w:val="0"/>
            <w:vAlign w:val="top"/>
          </w:tcPr>
          <w:p w14:paraId="0E3085E1">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rPr>
              <w:t>数 量</w:t>
            </w:r>
          </w:p>
        </w:tc>
        <w:tc>
          <w:tcPr>
            <w:tcW w:w="2235" w:type="dxa"/>
            <w:noWrap w:val="0"/>
            <w:vAlign w:val="top"/>
          </w:tcPr>
          <w:p w14:paraId="04ADC538">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仿宋简体" w:hAnsi="方正仿宋简体" w:eastAsia="方正仿宋简体" w:cs="方正仿宋简体"/>
                <w:b/>
                <w:bCs/>
                <w:color w:val="auto"/>
                <w:sz w:val="24"/>
                <w:szCs w:val="24"/>
                <w:vertAlign w:val="baseline"/>
                <w:lang w:val="en-US" w:eastAsia="zh-CN"/>
              </w:rPr>
            </w:pPr>
            <w:r>
              <w:rPr>
                <w:rFonts w:hint="eastAsia" w:ascii="方正仿宋简体" w:hAnsi="方正仿宋简体" w:eastAsia="方正仿宋简体" w:cs="方正仿宋简体"/>
                <w:b/>
                <w:bCs/>
                <w:color w:val="auto"/>
                <w:sz w:val="24"/>
                <w:szCs w:val="24"/>
                <w:vertAlign w:val="baseline"/>
                <w:lang w:val="en-US" w:eastAsia="zh-CN"/>
              </w:rPr>
              <w:t>总价（万元）</w:t>
            </w:r>
          </w:p>
        </w:tc>
      </w:tr>
      <w:tr w14:paraId="1FA7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784F109F">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default" w:ascii="Times New Roman" w:hAnsi="Times New Roman" w:eastAsia="方正仿宋简体" w:cs="Times New Roman"/>
                <w:b/>
                <w:bCs/>
                <w:color w:val="auto"/>
                <w:sz w:val="24"/>
                <w:szCs w:val="24"/>
                <w:vertAlign w:val="baseline"/>
                <w:lang w:val="en-US" w:eastAsia="zh-CN"/>
              </w:rPr>
              <w:t>1</w:t>
            </w:r>
          </w:p>
        </w:tc>
        <w:tc>
          <w:tcPr>
            <w:tcW w:w="3345" w:type="dxa"/>
            <w:noWrap w:val="0"/>
            <w:vAlign w:val="center"/>
          </w:tcPr>
          <w:p w14:paraId="585ED9AE">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艾灸仪</w:t>
            </w:r>
          </w:p>
        </w:tc>
        <w:tc>
          <w:tcPr>
            <w:tcW w:w="1875" w:type="dxa"/>
            <w:noWrap w:val="0"/>
            <w:vAlign w:val="center"/>
          </w:tcPr>
          <w:p w14:paraId="649BFA85">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2台</w:t>
            </w:r>
          </w:p>
        </w:tc>
        <w:tc>
          <w:tcPr>
            <w:tcW w:w="2235" w:type="dxa"/>
            <w:noWrap w:val="0"/>
            <w:vAlign w:val="center"/>
          </w:tcPr>
          <w:p w14:paraId="530649EA">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9.7</w:t>
            </w:r>
          </w:p>
        </w:tc>
      </w:tr>
      <w:tr w14:paraId="6D3F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526D3F60">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w:t>
            </w:r>
          </w:p>
        </w:tc>
        <w:tc>
          <w:tcPr>
            <w:tcW w:w="3345" w:type="dxa"/>
            <w:noWrap w:val="0"/>
            <w:vAlign w:val="center"/>
          </w:tcPr>
          <w:p w14:paraId="4BDA121A">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电子罐疗仪</w:t>
            </w:r>
          </w:p>
        </w:tc>
        <w:tc>
          <w:tcPr>
            <w:tcW w:w="1875" w:type="dxa"/>
            <w:noWrap w:val="0"/>
            <w:vAlign w:val="center"/>
          </w:tcPr>
          <w:p w14:paraId="28A91A1F">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2台</w:t>
            </w:r>
          </w:p>
        </w:tc>
        <w:tc>
          <w:tcPr>
            <w:tcW w:w="2235" w:type="dxa"/>
            <w:noWrap w:val="0"/>
            <w:vAlign w:val="center"/>
          </w:tcPr>
          <w:p w14:paraId="46B032F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3.72</w:t>
            </w:r>
          </w:p>
        </w:tc>
      </w:tr>
      <w:tr w14:paraId="3962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3B23303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3</w:t>
            </w:r>
          </w:p>
        </w:tc>
        <w:tc>
          <w:tcPr>
            <w:tcW w:w="3345" w:type="dxa"/>
            <w:noWrap w:val="0"/>
            <w:vAlign w:val="center"/>
          </w:tcPr>
          <w:p w14:paraId="16A0DE19">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电脑颈椎牵引椅</w:t>
            </w:r>
          </w:p>
        </w:tc>
        <w:tc>
          <w:tcPr>
            <w:tcW w:w="1875" w:type="dxa"/>
            <w:noWrap w:val="0"/>
            <w:vAlign w:val="center"/>
          </w:tcPr>
          <w:p w14:paraId="6751E750">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552B1105">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w:t>
            </w:r>
          </w:p>
        </w:tc>
      </w:tr>
      <w:tr w14:paraId="7CE6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7DD0E8FD">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4</w:t>
            </w:r>
          </w:p>
        </w:tc>
        <w:tc>
          <w:tcPr>
            <w:tcW w:w="3345" w:type="dxa"/>
            <w:noWrap w:val="0"/>
            <w:vAlign w:val="center"/>
          </w:tcPr>
          <w:p w14:paraId="4754BC52">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电脑腰椎牵引床</w:t>
            </w:r>
          </w:p>
        </w:tc>
        <w:tc>
          <w:tcPr>
            <w:tcW w:w="1875" w:type="dxa"/>
            <w:noWrap w:val="0"/>
            <w:vAlign w:val="center"/>
          </w:tcPr>
          <w:p w14:paraId="5972E8D6">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51A99889">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2.3</w:t>
            </w:r>
          </w:p>
        </w:tc>
      </w:tr>
      <w:tr w14:paraId="12FB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29D08785">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5</w:t>
            </w:r>
          </w:p>
        </w:tc>
        <w:tc>
          <w:tcPr>
            <w:tcW w:w="3345" w:type="dxa"/>
            <w:noWrap w:val="0"/>
            <w:vAlign w:val="center"/>
          </w:tcPr>
          <w:p w14:paraId="56DBCC21">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偏振光治疗仪（红外偏振光）</w:t>
            </w:r>
          </w:p>
        </w:tc>
        <w:tc>
          <w:tcPr>
            <w:tcW w:w="1875" w:type="dxa"/>
            <w:noWrap w:val="0"/>
            <w:vAlign w:val="center"/>
          </w:tcPr>
          <w:p w14:paraId="7ED2DE62">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389194EF">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4.5</w:t>
            </w:r>
          </w:p>
        </w:tc>
      </w:tr>
      <w:tr w14:paraId="0671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707631C5">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6</w:t>
            </w:r>
          </w:p>
        </w:tc>
        <w:tc>
          <w:tcPr>
            <w:tcW w:w="3345" w:type="dxa"/>
            <w:noWrap w:val="0"/>
            <w:vAlign w:val="center"/>
          </w:tcPr>
          <w:p w14:paraId="0A82A6F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超声波治疗仪</w:t>
            </w:r>
          </w:p>
        </w:tc>
        <w:tc>
          <w:tcPr>
            <w:tcW w:w="1875" w:type="dxa"/>
            <w:noWrap w:val="0"/>
            <w:vAlign w:val="center"/>
          </w:tcPr>
          <w:p w14:paraId="59460160">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1台</w:t>
            </w:r>
          </w:p>
        </w:tc>
        <w:tc>
          <w:tcPr>
            <w:tcW w:w="2235" w:type="dxa"/>
            <w:noWrap w:val="0"/>
            <w:vAlign w:val="center"/>
          </w:tcPr>
          <w:p w14:paraId="0F92F91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27.4</w:t>
            </w:r>
          </w:p>
        </w:tc>
      </w:tr>
      <w:tr w14:paraId="7E9E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6" w:type="dxa"/>
            <w:noWrap w:val="0"/>
            <w:vAlign w:val="top"/>
          </w:tcPr>
          <w:p w14:paraId="7F59B88F">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7</w:t>
            </w:r>
          </w:p>
        </w:tc>
        <w:tc>
          <w:tcPr>
            <w:tcW w:w="3345" w:type="dxa"/>
            <w:noWrap w:val="0"/>
            <w:vAlign w:val="center"/>
          </w:tcPr>
          <w:p w14:paraId="761B1357">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红外线治疗仪</w:t>
            </w:r>
          </w:p>
        </w:tc>
        <w:tc>
          <w:tcPr>
            <w:tcW w:w="1875" w:type="dxa"/>
            <w:noWrap w:val="0"/>
            <w:vAlign w:val="center"/>
          </w:tcPr>
          <w:p w14:paraId="7E4810A0">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20台</w:t>
            </w:r>
          </w:p>
        </w:tc>
        <w:tc>
          <w:tcPr>
            <w:tcW w:w="2235" w:type="dxa"/>
            <w:noWrap w:val="0"/>
            <w:vAlign w:val="center"/>
          </w:tcPr>
          <w:p w14:paraId="0334517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hAnsi="Times New Roman" w:eastAsia="方正仿宋简体" w:cs="Times New Roman"/>
                <w:b/>
                <w:bCs/>
                <w:color w:val="auto"/>
                <w:sz w:val="24"/>
                <w:szCs w:val="24"/>
                <w:vertAlign w:val="baseline"/>
                <w:lang w:val="en-US" w:eastAsia="zh-CN"/>
              </w:rPr>
            </w:pPr>
            <w:r>
              <w:rPr>
                <w:rFonts w:hint="eastAsia" w:hAnsi="Times New Roman" w:eastAsia="方正仿宋简体" w:cs="Times New Roman"/>
                <w:b/>
                <w:bCs/>
                <w:color w:val="auto"/>
                <w:sz w:val="24"/>
                <w:szCs w:val="24"/>
                <w:vertAlign w:val="baseline"/>
                <w:lang w:val="en-US" w:eastAsia="zh-CN"/>
              </w:rPr>
              <w:t>1.78</w:t>
            </w:r>
          </w:p>
        </w:tc>
      </w:tr>
      <w:tr w14:paraId="72B7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956" w:type="dxa"/>
            <w:noWrap w:val="0"/>
            <w:vAlign w:val="top"/>
          </w:tcPr>
          <w:p w14:paraId="235C083F">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eastAsia" w:ascii="Times New Roman" w:hAnsi="Times New Roman" w:eastAsia="方正仿宋简体" w:cs="Times New Roman"/>
                <w:b/>
                <w:bCs/>
                <w:color w:val="auto"/>
                <w:sz w:val="28"/>
                <w:szCs w:val="28"/>
                <w:vertAlign w:val="baseline"/>
                <w:lang w:val="en-US" w:eastAsia="zh-CN"/>
              </w:rPr>
            </w:pPr>
          </w:p>
          <w:p w14:paraId="7935C2A8">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sz w:val="28"/>
                <w:szCs w:val="28"/>
                <w:vertAlign w:val="baseline"/>
                <w:lang w:val="en-US" w:eastAsia="zh-CN"/>
              </w:rPr>
            </w:pPr>
            <w:r>
              <w:rPr>
                <w:rFonts w:hint="eastAsia" w:ascii="Times New Roman" w:hAnsi="Times New Roman" w:eastAsia="方正仿宋简体" w:cs="Times New Roman"/>
                <w:b/>
                <w:bCs/>
                <w:color w:val="auto"/>
                <w:sz w:val="28"/>
                <w:szCs w:val="28"/>
                <w:vertAlign w:val="baseline"/>
                <w:lang w:val="en-US" w:eastAsia="zh-CN"/>
              </w:rPr>
              <w:t>合计</w:t>
            </w:r>
          </w:p>
        </w:tc>
        <w:tc>
          <w:tcPr>
            <w:tcW w:w="7455" w:type="dxa"/>
            <w:gridSpan w:val="3"/>
            <w:noWrap w:val="0"/>
            <w:vAlign w:val="top"/>
          </w:tcPr>
          <w:p w14:paraId="4944AA79">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eastAsia" w:hAnsi="Times New Roman" w:eastAsia="方正仿宋简体" w:cs="Times New Roman"/>
                <w:b/>
                <w:bCs/>
                <w:color w:val="auto"/>
                <w:kern w:val="2"/>
                <w:sz w:val="28"/>
                <w:szCs w:val="28"/>
                <w:vertAlign w:val="baseline"/>
                <w:lang w:val="en-US" w:eastAsia="zh-CN" w:bidi="ar-SA"/>
              </w:rPr>
            </w:pPr>
          </w:p>
          <w:p w14:paraId="2A399994">
            <w:pPr>
              <w:pStyle w:val="2"/>
              <w:keepNext w:val="0"/>
              <w:keepLines w:val="0"/>
              <w:pageBreakBefore w:val="0"/>
              <w:widowControl w:val="0"/>
              <w:kinsoku/>
              <w:wordWrap/>
              <w:overflowPunct/>
              <w:topLinePunct w:val="0"/>
              <w:autoSpaceDE/>
              <w:autoSpaceDN/>
              <w:bidi w:val="0"/>
              <w:adjustRightInd/>
              <w:snapToGrid/>
              <w:spacing w:after="0" w:afterLines="0" w:line="600" w:lineRule="exact"/>
              <w:jc w:val="center"/>
              <w:textAlignment w:val="auto"/>
              <w:rPr>
                <w:rFonts w:hint="default" w:ascii="Times New Roman" w:hAnsi="Times New Roman" w:eastAsia="方正仿宋简体" w:cs="Times New Roman"/>
                <w:b/>
                <w:bCs/>
                <w:color w:val="auto"/>
                <w:kern w:val="2"/>
                <w:sz w:val="28"/>
                <w:szCs w:val="28"/>
                <w:vertAlign w:val="baseline"/>
                <w:lang w:val="en-US" w:eastAsia="zh-CN" w:bidi="ar-SA"/>
              </w:rPr>
            </w:pPr>
            <w:r>
              <w:rPr>
                <w:rFonts w:hint="eastAsia" w:hAnsi="Times New Roman" w:eastAsia="方正仿宋简体" w:cs="Times New Roman"/>
                <w:b/>
                <w:bCs/>
                <w:color w:val="auto"/>
                <w:kern w:val="2"/>
                <w:sz w:val="28"/>
                <w:szCs w:val="28"/>
                <w:vertAlign w:val="baseline"/>
                <w:lang w:val="en-US" w:eastAsia="zh-CN" w:bidi="ar-SA"/>
              </w:rPr>
              <w:t>小写：50.4万元</w:t>
            </w:r>
            <w:r>
              <w:rPr>
                <w:rFonts w:hint="eastAsia" w:ascii="Times New Roman" w:hAnsi="Times New Roman" w:eastAsia="方正仿宋简体" w:cs="Times New Roman"/>
                <w:b/>
                <w:bCs/>
                <w:color w:val="auto"/>
                <w:kern w:val="2"/>
                <w:sz w:val="28"/>
                <w:szCs w:val="28"/>
                <w:vertAlign w:val="baseline"/>
                <w:lang w:val="en-US" w:eastAsia="zh-CN" w:bidi="ar-SA"/>
              </w:rPr>
              <w:t>（大写：</w:t>
            </w:r>
            <w:r>
              <w:rPr>
                <w:rFonts w:hint="eastAsia" w:hAnsi="Times New Roman" w:eastAsia="方正仿宋简体" w:cs="Times New Roman"/>
                <w:b/>
                <w:bCs/>
                <w:color w:val="auto"/>
                <w:kern w:val="2"/>
                <w:sz w:val="28"/>
                <w:szCs w:val="28"/>
                <w:vertAlign w:val="baseline"/>
                <w:lang w:val="en-US" w:eastAsia="zh-CN" w:bidi="ar-SA"/>
              </w:rPr>
              <w:t>伍拾万肆仟元整</w:t>
            </w:r>
            <w:r>
              <w:rPr>
                <w:rFonts w:hint="eastAsia" w:ascii="Times New Roman" w:hAnsi="Times New Roman" w:eastAsia="方正仿宋简体" w:cs="Times New Roman"/>
                <w:b/>
                <w:bCs/>
                <w:color w:val="auto"/>
                <w:kern w:val="2"/>
                <w:sz w:val="28"/>
                <w:szCs w:val="28"/>
                <w:vertAlign w:val="baseline"/>
                <w:lang w:val="en-US" w:eastAsia="zh-CN" w:bidi="ar-SA"/>
              </w:rPr>
              <w:t>）</w:t>
            </w:r>
          </w:p>
        </w:tc>
      </w:tr>
    </w:tbl>
    <w:p w14:paraId="3F16252D">
      <w:pPr>
        <w:rPr>
          <w:rFonts w:hint="eastAsia" w:hAnsi="Times New Roman" w:eastAsia="方正仿宋简体" w:cs="Times New Roman"/>
          <w:b/>
          <w:bCs/>
          <w:i w:val="0"/>
          <w:iCs w:val="0"/>
          <w:caps w:val="0"/>
          <w:color w:val="auto"/>
          <w:spacing w:val="0"/>
          <w:sz w:val="32"/>
          <w:szCs w:val="32"/>
          <w:highlight w:val="none"/>
          <w:lang w:val="en-US" w:eastAsia="zh-CN"/>
        </w:rPr>
      </w:pPr>
    </w:p>
    <w:p w14:paraId="0823EC7C">
      <w:pPr>
        <w:rPr>
          <w:rFonts w:hint="eastAsia" w:hAnsi="Times New Roman" w:eastAsia="方正仿宋简体" w:cs="Times New Roman"/>
          <w:b/>
          <w:bCs/>
          <w:i w:val="0"/>
          <w:iCs w:val="0"/>
          <w:caps w:val="0"/>
          <w:color w:val="auto"/>
          <w:spacing w:val="0"/>
          <w:sz w:val="32"/>
          <w:szCs w:val="32"/>
          <w:highlight w:val="none"/>
          <w:lang w:val="en-US" w:eastAsia="zh-CN"/>
        </w:rPr>
      </w:pPr>
    </w:p>
    <w:p w14:paraId="14CE5C88">
      <w:pPr>
        <w:numPr>
          <w:ilvl w:val="0"/>
          <w:numId w:val="0"/>
        </w:numPr>
        <w:rPr>
          <w:rFonts w:hint="default" w:hAnsi="Times New Roman" w:eastAsia="方正仿宋简体" w:cs="Times New Roman"/>
          <w:b/>
          <w:bCs/>
          <w:i w:val="0"/>
          <w:iCs w:val="0"/>
          <w:caps w:val="0"/>
          <w:color w:val="auto"/>
          <w:spacing w:val="0"/>
          <w:sz w:val="32"/>
          <w:szCs w:val="32"/>
          <w:highlight w:val="none"/>
          <w:lang w:val="en-US" w:eastAsia="zh-CN"/>
        </w:rPr>
      </w:pPr>
    </w:p>
    <w:p w14:paraId="33DBAAAF">
      <w:pPr>
        <w:rPr>
          <w:rFonts w:hint="eastAsia" w:hAnsi="Times New Roman" w:eastAsia="方正仿宋简体" w:cs="Times New Roman"/>
          <w:b/>
          <w:bCs/>
          <w:i w:val="0"/>
          <w:iCs w:val="0"/>
          <w:caps w:val="0"/>
          <w:color w:val="auto"/>
          <w:spacing w:val="0"/>
          <w:sz w:val="32"/>
          <w:szCs w:val="32"/>
          <w:highlight w:val="none"/>
          <w:lang w:val="en-US" w:eastAsia="zh-CN"/>
        </w:rPr>
      </w:pPr>
    </w:p>
    <w:p w14:paraId="04DDFFAA">
      <w:pPr>
        <w:rPr>
          <w:rFonts w:hint="eastAsia" w:hAnsi="Times New Roman" w:eastAsia="方正仿宋简体" w:cs="Times New Roman"/>
          <w:b/>
          <w:bCs/>
          <w:i w:val="0"/>
          <w:iCs w:val="0"/>
          <w:caps w:val="0"/>
          <w:color w:val="auto"/>
          <w:spacing w:val="0"/>
          <w:sz w:val="32"/>
          <w:szCs w:val="32"/>
          <w:highlight w:val="none"/>
          <w:lang w:val="en-US" w:eastAsia="zh-CN"/>
        </w:rPr>
      </w:pPr>
      <w:r>
        <w:rPr>
          <w:rFonts w:hint="eastAsia" w:hAnsi="Times New Roman" w:eastAsia="方正仿宋简体" w:cs="Times New Roman"/>
          <w:b/>
          <w:bCs/>
          <w:i w:val="0"/>
          <w:iCs w:val="0"/>
          <w:caps w:val="0"/>
          <w:color w:val="auto"/>
          <w:spacing w:val="0"/>
          <w:sz w:val="32"/>
          <w:szCs w:val="32"/>
          <w:highlight w:val="none"/>
          <w:lang w:val="en-US" w:eastAsia="zh-CN"/>
        </w:rPr>
        <w:t>附件</w:t>
      </w:r>
      <w:r>
        <w:rPr>
          <w:rFonts w:hint="default" w:ascii="Times New Roman" w:hAnsi="Times New Roman" w:eastAsia="方正仿宋简体" w:cs="Times New Roman"/>
          <w:b/>
          <w:bCs/>
          <w:i w:val="0"/>
          <w:iCs w:val="0"/>
          <w:caps w:val="0"/>
          <w:color w:val="auto"/>
          <w:spacing w:val="0"/>
          <w:sz w:val="32"/>
          <w:szCs w:val="32"/>
          <w:highlight w:val="none"/>
          <w:lang w:val="en-US" w:eastAsia="zh-CN"/>
        </w:rPr>
        <w:t>2</w:t>
      </w:r>
    </w:p>
    <w:p w14:paraId="73E5118B">
      <w:pPr>
        <w:pStyle w:val="10"/>
        <w:jc w:val="center"/>
        <w:rPr>
          <w:rFonts w:hint="default" w:ascii="方正小标宋简体" w:hAnsi="方正小标宋简体" w:eastAsia="方正小标宋简体" w:cs="方正小标宋简体"/>
          <w:b/>
          <w:bCs/>
          <w:i w:val="0"/>
          <w:iCs w:val="0"/>
          <w:caps w:val="0"/>
          <w:color w:val="auto"/>
          <w:spacing w:val="0"/>
          <w:sz w:val="36"/>
          <w:szCs w:val="36"/>
          <w:highlight w:val="none"/>
          <w:lang w:val="en-US" w:eastAsia="zh-CN"/>
        </w:rPr>
      </w:pPr>
      <w:r>
        <w:rPr>
          <w:rFonts w:hint="eastAsia" w:ascii="方正小标宋简体" w:hAnsi="方正小标宋简体" w:eastAsia="方正小标宋简体" w:cs="方正小标宋简体"/>
          <w:b/>
          <w:bCs/>
          <w:i w:val="0"/>
          <w:iCs w:val="0"/>
          <w:caps w:val="0"/>
          <w:color w:val="auto"/>
          <w:spacing w:val="-6"/>
          <w:sz w:val="36"/>
          <w:szCs w:val="36"/>
          <w:highlight w:val="none"/>
          <w:lang w:val="en-US" w:eastAsia="zh-CN"/>
        </w:rPr>
        <w:t>威远县中医医院2026年省级中医优势专科康复科建设购置医用设备参数明细表</w:t>
      </w:r>
    </w:p>
    <w:tbl>
      <w:tblPr>
        <w:tblStyle w:val="11"/>
        <w:tblW w:w="531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68"/>
        <w:gridCol w:w="2970"/>
        <w:gridCol w:w="5677"/>
      </w:tblGrid>
      <w:tr w14:paraId="3EC3E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408" w:type="pct"/>
            <w:noWrap w:val="0"/>
            <w:vAlign w:val="center"/>
          </w:tcPr>
          <w:p w14:paraId="39F03BA8">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pacing w:val="-7"/>
                <w:sz w:val="28"/>
                <w:szCs w:val="28"/>
              </w:rPr>
              <w:t>序号</w:t>
            </w:r>
          </w:p>
        </w:tc>
        <w:tc>
          <w:tcPr>
            <w:tcW w:w="1577" w:type="pct"/>
            <w:noWrap w:val="0"/>
            <w:vAlign w:val="center"/>
          </w:tcPr>
          <w:p w14:paraId="7E392D42">
            <w:pPr>
              <w:keepNext w:val="0"/>
              <w:keepLines w:val="0"/>
              <w:pageBreakBefore w:val="0"/>
              <w:kinsoku/>
              <w:wordWrap/>
              <w:overflowPunct/>
              <w:topLinePunct w:val="0"/>
              <w:autoSpaceDE/>
              <w:autoSpaceDN/>
              <w:bidi w:val="0"/>
              <w:adjustRightInd/>
              <w:snapToGrid/>
              <w:spacing w:before="81"/>
              <w:ind w:left="101"/>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pacing w:val="-8"/>
                <w:sz w:val="28"/>
                <w:szCs w:val="28"/>
                <w:lang w:val="en-US" w:eastAsia="zh-CN"/>
              </w:rPr>
              <w:t>设备</w:t>
            </w:r>
            <w:r>
              <w:rPr>
                <w:rFonts w:hint="default" w:ascii="Times New Roman" w:hAnsi="Times New Roman" w:eastAsia="方正仿宋简体" w:cs="Times New Roman"/>
                <w:b/>
                <w:bCs/>
                <w:snapToGrid w:val="0"/>
                <w:color w:val="auto"/>
                <w:spacing w:val="-8"/>
                <w:sz w:val="28"/>
                <w:szCs w:val="28"/>
              </w:rPr>
              <w:t>名称</w:t>
            </w:r>
          </w:p>
        </w:tc>
        <w:tc>
          <w:tcPr>
            <w:tcW w:w="3014" w:type="pct"/>
            <w:noWrap w:val="0"/>
            <w:vAlign w:val="center"/>
          </w:tcPr>
          <w:p w14:paraId="21B92A3E">
            <w:pPr>
              <w:keepNext w:val="0"/>
              <w:keepLines w:val="0"/>
              <w:pageBreakBefore w:val="0"/>
              <w:kinsoku/>
              <w:wordWrap/>
              <w:overflowPunct/>
              <w:topLinePunct w:val="0"/>
              <w:autoSpaceDE/>
              <w:autoSpaceDN/>
              <w:bidi w:val="0"/>
              <w:adjustRightInd/>
              <w:snapToGrid/>
              <w:spacing w:before="142"/>
              <w:ind w:left="10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z w:val="28"/>
                <w:szCs w:val="28"/>
                <w:lang w:val="en-US" w:eastAsia="zh-CN"/>
              </w:rPr>
              <w:t>主要</w:t>
            </w:r>
            <w:r>
              <w:rPr>
                <w:rFonts w:hint="default" w:ascii="Times New Roman" w:hAnsi="Times New Roman" w:eastAsia="方正仿宋简体" w:cs="Times New Roman"/>
                <w:b/>
                <w:bCs/>
                <w:snapToGrid w:val="0"/>
                <w:color w:val="auto"/>
                <w:sz w:val="28"/>
                <w:szCs w:val="28"/>
              </w:rPr>
              <w:t>参数及配置要求</w:t>
            </w:r>
          </w:p>
        </w:tc>
      </w:tr>
      <w:tr w14:paraId="0C944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76D899A5">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rPr>
            </w:pPr>
            <w:r>
              <w:rPr>
                <w:rFonts w:hint="default" w:ascii="Times New Roman" w:hAnsi="Times New Roman" w:eastAsia="方正仿宋简体" w:cs="Times New Roman"/>
                <w:b/>
                <w:bCs/>
                <w:snapToGrid w:val="0"/>
                <w:color w:val="auto"/>
                <w:sz w:val="28"/>
                <w:szCs w:val="28"/>
              </w:rPr>
              <w:t>1</w:t>
            </w:r>
          </w:p>
        </w:tc>
        <w:tc>
          <w:tcPr>
            <w:tcW w:w="1577" w:type="pct"/>
            <w:noWrap w:val="0"/>
            <w:vAlign w:val="center"/>
          </w:tcPr>
          <w:p w14:paraId="2C3B1109">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default" w:ascii="Times New Roman" w:hAnsi="Times New Roman" w:eastAsia="方正仿宋简体" w:cs="Times New Roman"/>
                <w:b/>
                <w:bCs/>
                <w:snapToGrid w:val="0"/>
                <w:color w:val="auto"/>
                <w:sz w:val="28"/>
                <w:szCs w:val="28"/>
                <w:lang w:val="en-US" w:eastAsia="zh-CN"/>
              </w:rPr>
              <w:t>艾灸仪</w:t>
            </w:r>
          </w:p>
        </w:tc>
        <w:tc>
          <w:tcPr>
            <w:tcW w:w="3014" w:type="pct"/>
            <w:noWrap w:val="0"/>
            <w:vAlign w:val="top"/>
          </w:tcPr>
          <w:p w14:paraId="13CAF07E">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eastAsia"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：无烟悬灸，艾饼加热方式、无明火，对穴位实施温热刺激，起到温通经络、散寒止痛作用；支持智能控温、定时治疗；配置万向支架，可多角度调节、定点悬停定位；配备双重过热保护装置；支持遥控器操作。</w:t>
            </w:r>
          </w:p>
          <w:p w14:paraId="7AC104C1">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：二类医疗器械；设备组成包含灸头、支撑架、控制器、遥控器；温度多档位可调；治疗设定时间范围 1min～99min；360° 万向悬停支架；艾饼加热无烟灸疗模式；配套遥控器；提供医疗器械注册证。</w:t>
            </w:r>
          </w:p>
          <w:p w14:paraId="4F22CFA5">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sz w:val="24"/>
                <w:szCs w:val="24"/>
                <w:vertAlign w:val="baseline"/>
                <w:lang w:val="en-US"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：用于中医穴位艾灸辅助治疗，适用于颈肩腰腿痛、软组织劳损、寒湿痹痛等疼痛类康复。</w:t>
            </w:r>
          </w:p>
        </w:tc>
      </w:tr>
      <w:tr w14:paraId="5BF44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2514834D">
            <w:pPr>
              <w:keepNext w:val="0"/>
              <w:keepLines w:val="0"/>
              <w:pageBreakBefore w:val="0"/>
              <w:kinsoku/>
              <w:wordWrap/>
              <w:overflowPunct/>
              <w:topLinePunct w:val="0"/>
              <w:autoSpaceDE/>
              <w:autoSpaceDN/>
              <w:bidi w:val="0"/>
              <w:adjustRightInd/>
              <w:snapToGrid/>
              <w:spacing w:before="141"/>
              <w:ind w:left="95"/>
              <w:jc w:val="center"/>
              <w:textAlignment w:val="auto"/>
              <w:rPr>
                <w:rFonts w:hint="eastAsia"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2</w:t>
            </w:r>
          </w:p>
        </w:tc>
        <w:tc>
          <w:tcPr>
            <w:tcW w:w="1577" w:type="pct"/>
            <w:noWrap w:val="0"/>
            <w:vAlign w:val="center"/>
          </w:tcPr>
          <w:p w14:paraId="6086FEF5">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电子罐疗仪</w:t>
            </w:r>
          </w:p>
        </w:tc>
        <w:tc>
          <w:tcPr>
            <w:tcW w:w="3014" w:type="pct"/>
            <w:noWrap w:val="0"/>
            <w:vAlign w:val="top"/>
          </w:tcPr>
          <w:p w14:paraId="4E4D7494">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：智能负压罐疗，支持留罐、闪罐、走罐多种罐法；罐内可恒温加热；负压量化可调，自动抽气、自动放气；多通道独立输出，无需明火点火；支持温罐、药罐治疗模式。</w:t>
            </w:r>
          </w:p>
          <w:p w14:paraId="504BA156">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：多通道独立输出；负压强度连续可调；吸气、放气程序自动切换；罐体温控加热；内置漏气检测功能；具备过压保护；操作显示屏实时显示负压值、治疗时间等参数；提供医疗器械注册证。</w:t>
            </w:r>
          </w:p>
          <w:p w14:paraId="0A37AB0E">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vertAlign w:val="baseline"/>
                <w:lang w:val="en-US"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：用于中医罐法康复治疗，适用于软组织损伤、肌筋膜炎、颈肩腰腿痛。</w:t>
            </w:r>
          </w:p>
        </w:tc>
      </w:tr>
      <w:tr w14:paraId="6CA1D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3D5DF05D">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3</w:t>
            </w:r>
          </w:p>
        </w:tc>
        <w:tc>
          <w:tcPr>
            <w:tcW w:w="1577" w:type="pct"/>
            <w:noWrap w:val="0"/>
            <w:vAlign w:val="center"/>
          </w:tcPr>
          <w:p w14:paraId="282BB377">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电脑颈椎牵引椅</w:t>
            </w:r>
          </w:p>
        </w:tc>
        <w:tc>
          <w:tcPr>
            <w:tcW w:w="3014" w:type="pct"/>
            <w:noWrap w:val="0"/>
            <w:vAlign w:val="top"/>
          </w:tcPr>
          <w:p w14:paraId="3074F430">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：电脑数字化控制颈椎牵引；具备持续牵引、间歇牵引两种工作模式；牵引力自动补偿；设置安全过载保护，配备急停装置。</w:t>
            </w:r>
          </w:p>
          <w:p w14:paraId="500CD627">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：供电 AC220V，50Hz；牵引力调节范围 0N～300N；牵引行程 0mm～250mm；牵引时间 0min～60min；间歇时间 0s～90s；牵引角度调节范围 0°～15°；拉力过载自动停机保护；座椅结构稳固、防滑；配置紧急停止按键。</w:t>
            </w:r>
          </w:p>
          <w:p w14:paraId="0B68D56F">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vertAlign w:val="baseline"/>
                <w:lang w:val="en-US" w:eastAsia="zh-CN"/>
              </w:rPr>
            </w:pPr>
            <w:r>
              <w:rPr>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：用于颈椎减压牵引治疗，适用于颈椎病、颈椎间盘突出、颈椎小关节紊乱、颈肌痉挛。</w:t>
            </w:r>
          </w:p>
        </w:tc>
      </w:tr>
      <w:tr w14:paraId="7C925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01B6C8DF">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4</w:t>
            </w:r>
          </w:p>
        </w:tc>
        <w:tc>
          <w:tcPr>
            <w:tcW w:w="1577" w:type="pct"/>
            <w:noWrap w:val="0"/>
            <w:vAlign w:val="center"/>
          </w:tcPr>
          <w:p w14:paraId="5735DD94">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电脑腰椎牵引床</w:t>
            </w:r>
          </w:p>
        </w:tc>
        <w:tc>
          <w:tcPr>
            <w:tcW w:w="3014" w:type="pct"/>
            <w:noWrap w:val="0"/>
            <w:vAlign w:val="top"/>
          </w:tcPr>
          <w:p w14:paraId="5D7A895C">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：电脑数字化控制腰椎牵引；支持持续牵引、间歇牵引、成角牵引模式；牵引力自动补偿；腰部可选配热敷功能；多重安全防护。</w:t>
            </w:r>
          </w:p>
          <w:p w14:paraId="69092E48">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：供电 AC220V，50Hz；腰椎牵引力 0N～980N；牵引行程 0mm～200mm；治疗总时间 0min～60min；间歇时间 0s～90s；可选腰部加热，控温 55℃±3℃；拉力超限自动保护；床体承重≥1500N；可存储多组治疗处方；提供医疗器械注册证。</w:t>
            </w:r>
          </w:p>
          <w:p w14:paraId="0D9E9466">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lang w:val="en-US"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：用于脊柱减压康复治疗，适用于腰椎间盘突出症、腰肌劳损、腰椎小关节紊乱、急性腰扭伤。</w:t>
            </w:r>
          </w:p>
        </w:tc>
      </w:tr>
      <w:tr w14:paraId="47ED3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0066240A">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5</w:t>
            </w:r>
          </w:p>
        </w:tc>
        <w:tc>
          <w:tcPr>
            <w:tcW w:w="1577" w:type="pct"/>
            <w:noWrap w:val="0"/>
            <w:vAlign w:val="center"/>
          </w:tcPr>
          <w:p w14:paraId="46C18347">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偏振光治疗仪（红外偏振光）</w:t>
            </w:r>
          </w:p>
        </w:tc>
        <w:tc>
          <w:tcPr>
            <w:tcW w:w="3014" w:type="pct"/>
            <w:noWrap w:val="0"/>
            <w:vAlign w:val="top"/>
          </w:tcPr>
          <w:p w14:paraId="31462D75">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：深层偏振光靶向照射，实现镇痛、抗炎、消肿效果；双通道独立输出；内置多种治疗模式，可搭配多种规格治疗头；可用于神经节、疼痛点、穴位照射治疗。</w:t>
            </w:r>
          </w:p>
          <w:p w14:paraId="296172A9">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：光谱波长 600nm～1600nm；偏振度≥90%；组织有效穿透深度≥5cm；双通道功率独立可调；输出功率 10%～100% 连续可调；治疗时间 1min～20min；支持连续输出、间歇脉冲输出模式；万向阻尼支架；具备超温、过载保护；可配置多种规格治疗头；提供医疗器械注册证。</w:t>
            </w:r>
          </w:p>
          <w:p w14:paraId="0EFEA45F">
            <w:pPr>
              <w:keepNext w:val="0"/>
              <w:keepLines w:val="0"/>
              <w:widowControl/>
              <w:numPr>
                <w:ilvl w:val="0"/>
                <w:numId w:val="0"/>
              </w:numPr>
              <w:suppressLineNumbers w:val="0"/>
              <w:spacing w:before="100" w:beforeAutospacing="1" w:after="100" w:afterAutospacing="1"/>
              <w:rPr>
                <w:rFonts w:hint="eastAsia" w:ascii="Times New Roman" w:hAnsi="Times New Roman" w:eastAsia="方正仿宋简体" w:cs="Times New Roman"/>
                <w:b/>
                <w:bCs w:val="0"/>
                <w:sz w:val="24"/>
                <w:szCs w:val="24"/>
                <w:lang w:eastAsia="zh-CN"/>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：适用于各类软组织疼痛、神经痛、肩周炎、腰腿痛、带状疱疹后遗神经痛、术后创面修复</w:t>
            </w:r>
            <w:r>
              <w:rPr>
                <w:rFonts w:hint="eastAsia" w:ascii="Times New Roman" w:hAnsi="Times New Roman" w:eastAsia="方正仿宋简体" w:cs="Times New Roman"/>
                <w:b/>
                <w:bCs w:val="0"/>
                <w:sz w:val="24"/>
                <w:szCs w:val="24"/>
                <w:lang w:eastAsia="zh-CN"/>
              </w:rPr>
              <w:t>。</w:t>
            </w:r>
          </w:p>
        </w:tc>
      </w:tr>
      <w:tr w14:paraId="3CEA8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2D33928C">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6</w:t>
            </w:r>
          </w:p>
        </w:tc>
        <w:tc>
          <w:tcPr>
            <w:tcW w:w="1577" w:type="pct"/>
            <w:noWrap w:val="0"/>
            <w:vAlign w:val="center"/>
          </w:tcPr>
          <w:p w14:paraId="5EC6E66D">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超声波治疗仪</w:t>
            </w:r>
          </w:p>
        </w:tc>
        <w:tc>
          <w:tcPr>
            <w:tcW w:w="3014" w:type="pct"/>
            <w:noWrap w:val="0"/>
            <w:vAlign w:val="top"/>
          </w:tcPr>
          <w:p w14:paraId="7C56B925">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：无创聚焦超声理疗，对软组织痛点靶向干预，镇痛、松解软组织粘连；可视化操作界面，治疗枪支持定点或移动扫掠治疗；内置多套预设临床处方；配备多重安全防护；二类医用超声理疗设备。</w:t>
            </w:r>
          </w:p>
          <w:p w14:paraId="6DC8EFAB">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二类医疗器械；设备组成：外壳、电源系统、超声驱动系统、治疗枪、控制系统、显示系统；内置多套临床预设治疗处方；超声输出功率连续可调；超时、超温双重安全保护；彩色显示屏，实时展示治疗参数；具备治疗计时功能；提供医疗器械注册证。</w:t>
            </w:r>
          </w:p>
          <w:p w14:paraId="087AC8CF">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：用于颈肩部、腰腹部、四肢部位慢性软组织损伤性疼痛，肌筋膜炎、运动损伤、软组织劳损的康复理疗。</w:t>
            </w:r>
          </w:p>
        </w:tc>
      </w:tr>
      <w:tr w14:paraId="2208D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jc w:val="center"/>
        </w:trPr>
        <w:tc>
          <w:tcPr>
            <w:tcW w:w="408" w:type="pct"/>
            <w:noWrap w:val="0"/>
            <w:vAlign w:val="center"/>
          </w:tcPr>
          <w:p w14:paraId="3B2F06C1">
            <w:pPr>
              <w:keepNext w:val="0"/>
              <w:keepLines w:val="0"/>
              <w:pageBreakBefore w:val="0"/>
              <w:kinsoku/>
              <w:wordWrap/>
              <w:overflowPunct/>
              <w:topLinePunct w:val="0"/>
              <w:autoSpaceDE/>
              <w:autoSpaceDN/>
              <w:bidi w:val="0"/>
              <w:adjustRightInd/>
              <w:snapToGrid/>
              <w:spacing w:before="141"/>
              <w:ind w:left="95"/>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7</w:t>
            </w:r>
          </w:p>
        </w:tc>
        <w:tc>
          <w:tcPr>
            <w:tcW w:w="1577" w:type="pct"/>
            <w:noWrap w:val="0"/>
            <w:vAlign w:val="center"/>
          </w:tcPr>
          <w:p w14:paraId="04A6595D">
            <w:pPr>
              <w:keepNext w:val="0"/>
              <w:keepLines w:val="0"/>
              <w:pageBreakBefore w:val="0"/>
              <w:kinsoku/>
              <w:wordWrap/>
              <w:overflowPunct/>
              <w:topLinePunct w:val="0"/>
              <w:autoSpaceDE/>
              <w:autoSpaceDN/>
              <w:bidi w:val="0"/>
              <w:adjustRightInd/>
              <w:snapToGrid/>
              <w:spacing w:before="81" w:line="219" w:lineRule="auto"/>
              <w:ind w:left="101"/>
              <w:jc w:val="center"/>
              <w:textAlignment w:val="auto"/>
              <w:rPr>
                <w:rFonts w:hint="default" w:ascii="Times New Roman" w:hAnsi="Times New Roman" w:eastAsia="方正仿宋简体" w:cs="Times New Roman"/>
                <w:b/>
                <w:bCs/>
                <w:snapToGrid w:val="0"/>
                <w:color w:val="auto"/>
                <w:sz w:val="28"/>
                <w:szCs w:val="28"/>
                <w:lang w:val="en-US" w:eastAsia="zh-CN"/>
              </w:rPr>
            </w:pPr>
            <w:r>
              <w:rPr>
                <w:rFonts w:hint="eastAsia" w:ascii="Times New Roman" w:hAnsi="Times New Roman" w:eastAsia="方正仿宋简体" w:cs="Times New Roman"/>
                <w:b/>
                <w:bCs/>
                <w:snapToGrid w:val="0"/>
                <w:color w:val="auto"/>
                <w:sz w:val="28"/>
                <w:szCs w:val="28"/>
                <w:lang w:val="en-US" w:eastAsia="zh-CN"/>
              </w:rPr>
              <w:t>红外线治疗仪</w:t>
            </w:r>
          </w:p>
        </w:tc>
        <w:tc>
          <w:tcPr>
            <w:tcW w:w="3014" w:type="pct"/>
            <w:noWrap w:val="0"/>
            <w:vAlign w:val="top"/>
          </w:tcPr>
          <w:p w14:paraId="0DCA20C3">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1.</w:t>
            </w:r>
            <w:r>
              <w:rPr>
                <w:rStyle w:val="9"/>
                <w:rFonts w:hint="default" w:ascii="Times New Roman" w:hAnsi="Times New Roman" w:eastAsia="方正仿宋简体" w:cs="Times New Roman"/>
                <w:b/>
                <w:bCs w:val="0"/>
                <w:sz w:val="24"/>
                <w:szCs w:val="24"/>
              </w:rPr>
              <w:t>核心功能</w:t>
            </w:r>
            <w:r>
              <w:rPr>
                <w:rFonts w:hint="default" w:ascii="Times New Roman" w:hAnsi="Times New Roman" w:eastAsia="方正仿宋简体" w:cs="Times New Roman"/>
                <w:b/>
                <w:bCs w:val="0"/>
                <w:sz w:val="24"/>
                <w:szCs w:val="24"/>
              </w:rPr>
              <w:t>：红外热辐射温热理疗，改善局部血液循环，起到消肿、消炎、镇痛作用；支架多角度调节定位；支持定时治疗，过热保护；落地式结构，操作简便，适合多床位理疗使用。</w:t>
            </w:r>
          </w:p>
          <w:p w14:paraId="4DC05D97">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sz w:val="24"/>
                <w:szCs w:val="24"/>
              </w:rPr>
            </w:pPr>
            <w:r>
              <w:rPr>
                <w:rStyle w:val="9"/>
                <w:rFonts w:hint="default" w:ascii="Times New Roman" w:hAnsi="Times New Roman" w:eastAsia="方正仿宋简体" w:cs="Times New Roman"/>
                <w:b/>
                <w:bCs w:val="0"/>
                <w:sz w:val="24"/>
                <w:szCs w:val="24"/>
                <w:lang w:val="en-US" w:eastAsia="zh-CN"/>
              </w:rPr>
              <w:t>2.</w:t>
            </w:r>
            <w:r>
              <w:rPr>
                <w:rStyle w:val="9"/>
                <w:rFonts w:hint="default" w:ascii="Times New Roman" w:hAnsi="Times New Roman" w:eastAsia="方正仿宋简体" w:cs="Times New Roman"/>
                <w:b/>
                <w:bCs w:val="0"/>
                <w:sz w:val="24"/>
                <w:szCs w:val="24"/>
              </w:rPr>
              <w:t>技术参数</w:t>
            </w:r>
            <w:r>
              <w:rPr>
                <w:rFonts w:hint="default" w:ascii="Times New Roman" w:hAnsi="Times New Roman" w:eastAsia="方正仿宋简体" w:cs="Times New Roman"/>
                <w:b/>
                <w:bCs w:val="0"/>
                <w:sz w:val="24"/>
                <w:szCs w:val="24"/>
              </w:rPr>
              <w:t>：二类医疗器械；供电 AC220V；红外热辐射输出；治疗时间 0min～60min 可调；落地支架，多角度调节定位；过热断电保护；提供医疗器械注册证。</w:t>
            </w:r>
          </w:p>
          <w:p w14:paraId="475869A6">
            <w:pPr>
              <w:keepNext w:val="0"/>
              <w:keepLines w:val="0"/>
              <w:widowControl/>
              <w:numPr>
                <w:ilvl w:val="0"/>
                <w:numId w:val="0"/>
              </w:numPr>
              <w:suppressLineNumbers w:val="0"/>
              <w:spacing w:before="100" w:beforeAutospacing="1" w:after="100" w:afterAutospacing="1"/>
              <w:rPr>
                <w:rFonts w:hint="default" w:ascii="Times New Roman" w:hAnsi="Times New Roman" w:eastAsia="方正仿宋简体" w:cs="Times New Roman"/>
                <w:b/>
                <w:bCs w:val="0"/>
                <w:kern w:val="0"/>
                <w:sz w:val="24"/>
                <w:szCs w:val="24"/>
                <w:lang w:val="en-US" w:eastAsia="zh-CN" w:bidi="ar"/>
              </w:rPr>
            </w:pPr>
            <w:r>
              <w:rPr>
                <w:rStyle w:val="9"/>
                <w:rFonts w:hint="default" w:ascii="Times New Roman" w:hAnsi="Times New Roman" w:eastAsia="方正仿宋简体" w:cs="Times New Roman"/>
                <w:b/>
                <w:bCs w:val="0"/>
                <w:sz w:val="24"/>
                <w:szCs w:val="24"/>
                <w:lang w:val="en-US" w:eastAsia="zh-CN"/>
              </w:rPr>
              <w:t>3.</w:t>
            </w:r>
            <w:r>
              <w:rPr>
                <w:rStyle w:val="9"/>
                <w:rFonts w:hint="default" w:ascii="Times New Roman" w:hAnsi="Times New Roman" w:eastAsia="方正仿宋简体" w:cs="Times New Roman"/>
                <w:b/>
                <w:bCs w:val="0"/>
                <w:sz w:val="24"/>
                <w:szCs w:val="24"/>
              </w:rPr>
              <w:t>适用范围</w:t>
            </w:r>
            <w:r>
              <w:rPr>
                <w:rFonts w:hint="default" w:ascii="Times New Roman" w:hAnsi="Times New Roman" w:eastAsia="方正仿宋简体" w:cs="Times New Roman"/>
                <w:b/>
                <w:bCs w:val="0"/>
                <w:sz w:val="24"/>
                <w:szCs w:val="24"/>
              </w:rPr>
              <w:t>：用于常规温热康复理疗，适用于软组织挫伤、关节炎、腰肌劳损、局部炎症肿胀</w:t>
            </w:r>
          </w:p>
        </w:tc>
      </w:tr>
    </w:tbl>
    <w:p w14:paraId="2A38BC13">
      <w:pPr>
        <w:rPr>
          <w:rFonts w:hint="default" w:ascii="Times New Roman" w:hAnsi="Times New Roman" w:eastAsia="方正仿宋简体" w:cs="Times New Roman"/>
          <w:b/>
          <w:bCs/>
          <w:color w:val="auto"/>
          <w:kern w:val="2"/>
          <w:sz w:val="32"/>
          <w:szCs w:val="32"/>
          <w:highlight w:val="none"/>
          <w:lang w:val="en-US" w:eastAsia="zh-CN" w:bidi="ar-SA"/>
        </w:rPr>
      </w:pPr>
    </w:p>
    <w:p w14:paraId="523A0CF4">
      <w:pPr>
        <w:rPr>
          <w:rFonts w:hint="default" w:ascii="Times New Roman" w:hAnsi="Times New Roman" w:eastAsia="方正仿宋简体" w:cs="Times New Roman"/>
          <w:b/>
          <w:bCs/>
          <w:color w:val="auto"/>
          <w:kern w:val="2"/>
          <w:sz w:val="32"/>
          <w:szCs w:val="32"/>
          <w:highlight w:val="none"/>
          <w:lang w:val="en-US" w:eastAsia="zh-CN" w:bidi="ar-SA"/>
        </w:rPr>
      </w:pPr>
    </w:p>
    <w:p w14:paraId="44478E1E">
      <w:pPr>
        <w:rPr>
          <w:rFonts w:hint="default" w:ascii="Times New Roman" w:hAnsi="Times New Roman" w:eastAsia="方正仿宋简体" w:cs="Times New Roman"/>
          <w:b/>
          <w:bCs/>
          <w:color w:val="auto"/>
          <w:kern w:val="2"/>
          <w:sz w:val="32"/>
          <w:szCs w:val="32"/>
          <w:highlight w:val="none"/>
          <w:lang w:val="en-US" w:eastAsia="zh-CN" w:bidi="ar-SA"/>
        </w:rPr>
      </w:pPr>
    </w:p>
    <w:p w14:paraId="67CC3927">
      <w:pPr>
        <w:rPr>
          <w:rFonts w:hint="default" w:ascii="Times New Roman" w:hAnsi="Times New Roman" w:eastAsia="方正仿宋简体" w:cs="Times New Roman"/>
          <w:b/>
          <w:bCs/>
          <w:color w:val="auto"/>
          <w:kern w:val="2"/>
          <w:sz w:val="32"/>
          <w:szCs w:val="32"/>
          <w:highlight w:val="none"/>
          <w:lang w:val="en-US" w:eastAsia="zh-CN" w:bidi="ar-SA"/>
        </w:rPr>
      </w:pPr>
    </w:p>
    <w:p w14:paraId="72491BA3">
      <w:pPr>
        <w:rPr>
          <w:rFonts w:hint="default" w:ascii="Times New Roman" w:hAnsi="Times New Roman" w:eastAsia="方正仿宋简体" w:cs="Times New Roman"/>
          <w:b/>
          <w:bCs/>
          <w:color w:val="auto"/>
          <w:kern w:val="2"/>
          <w:sz w:val="32"/>
          <w:szCs w:val="32"/>
          <w:highlight w:val="none"/>
          <w:lang w:val="en-US" w:eastAsia="zh-CN" w:bidi="ar-SA"/>
        </w:rPr>
      </w:pPr>
    </w:p>
    <w:p w14:paraId="7DF36273">
      <w:pPr>
        <w:rPr>
          <w:rFonts w:hint="default" w:ascii="Times New Roman" w:hAnsi="Times New Roman" w:eastAsia="方正仿宋简体" w:cs="Times New Roman"/>
          <w:b/>
          <w:bCs/>
          <w:color w:val="auto"/>
          <w:kern w:val="2"/>
          <w:sz w:val="32"/>
          <w:szCs w:val="32"/>
          <w:highlight w:val="none"/>
          <w:lang w:val="en-US" w:eastAsia="zh-CN" w:bidi="ar-SA"/>
        </w:rPr>
      </w:pPr>
    </w:p>
    <w:p w14:paraId="7FE244A9">
      <w:pPr>
        <w:rPr>
          <w:rFonts w:hint="default" w:ascii="Times New Roman" w:hAnsi="Times New Roman" w:eastAsia="方正仿宋简体" w:cs="Times New Roman"/>
          <w:b/>
          <w:bCs/>
          <w:color w:val="auto"/>
          <w:kern w:val="2"/>
          <w:sz w:val="32"/>
          <w:szCs w:val="32"/>
          <w:highlight w:val="none"/>
          <w:lang w:val="en-US" w:eastAsia="zh-CN" w:bidi="ar-SA"/>
        </w:rPr>
      </w:pPr>
    </w:p>
    <w:p w14:paraId="16F5180B">
      <w:pPr>
        <w:rPr>
          <w:rFonts w:hint="default" w:ascii="Times New Roman" w:hAnsi="Times New Roman" w:eastAsia="方正仿宋简体" w:cs="Times New Roman"/>
          <w:b/>
          <w:bCs/>
          <w:color w:val="auto"/>
          <w:kern w:val="2"/>
          <w:sz w:val="32"/>
          <w:szCs w:val="32"/>
          <w:highlight w:val="none"/>
          <w:lang w:val="en-US" w:eastAsia="zh-CN" w:bidi="ar-SA"/>
        </w:rPr>
      </w:pPr>
    </w:p>
    <w:p w14:paraId="620A679B">
      <w:pPr>
        <w:rPr>
          <w:rFonts w:hint="default" w:ascii="Times New Roman" w:hAnsi="Times New Roman" w:eastAsia="方正仿宋简体" w:cs="Times New Roman"/>
          <w:b/>
          <w:bCs/>
          <w:color w:val="auto"/>
          <w:kern w:val="2"/>
          <w:sz w:val="32"/>
          <w:szCs w:val="32"/>
          <w:highlight w:val="none"/>
          <w:lang w:val="en-US" w:eastAsia="zh-CN" w:bidi="ar-SA"/>
        </w:rPr>
      </w:pPr>
    </w:p>
    <w:p w14:paraId="4F762CBD">
      <w:pPr>
        <w:rPr>
          <w:rFonts w:hint="default" w:ascii="Times New Roman" w:hAnsi="Times New Roman" w:eastAsia="方正仿宋简体" w:cs="Times New Roman"/>
          <w:b/>
          <w:bCs/>
          <w:color w:val="auto"/>
          <w:kern w:val="2"/>
          <w:sz w:val="32"/>
          <w:szCs w:val="32"/>
          <w:highlight w:val="none"/>
          <w:lang w:val="en-US" w:eastAsia="zh-CN" w:bidi="ar-SA"/>
        </w:rPr>
      </w:pPr>
    </w:p>
    <w:p w14:paraId="781B20B8">
      <w:pPr>
        <w:rPr>
          <w:rFonts w:hint="default" w:ascii="Times New Roman" w:hAnsi="Times New Roman" w:eastAsia="方正仿宋简体" w:cs="Times New Roman"/>
          <w:b/>
          <w:bCs/>
          <w:color w:val="auto"/>
          <w:kern w:val="2"/>
          <w:sz w:val="32"/>
          <w:szCs w:val="32"/>
          <w:highlight w:val="none"/>
          <w:lang w:val="en-US" w:eastAsia="zh-CN" w:bidi="ar-SA"/>
        </w:rPr>
      </w:pPr>
    </w:p>
    <w:p w14:paraId="22752ADC">
      <w:pPr>
        <w:rPr>
          <w:rFonts w:hint="default" w:ascii="Times New Roman" w:hAnsi="Times New Roman" w:eastAsia="方正仿宋简体" w:cs="Times New Roman"/>
          <w:b/>
          <w:bCs/>
          <w:color w:val="auto"/>
          <w:kern w:val="2"/>
          <w:sz w:val="32"/>
          <w:szCs w:val="32"/>
          <w:highlight w:val="none"/>
          <w:lang w:val="en-US" w:eastAsia="zh-CN" w:bidi="ar-SA"/>
        </w:rPr>
      </w:pPr>
    </w:p>
    <w:p w14:paraId="54E20119">
      <w:pPr>
        <w:rPr>
          <w:rFonts w:hint="default" w:ascii="Times New Roman" w:hAnsi="Times New Roman" w:eastAsia="方正仿宋简体" w:cs="Times New Roman"/>
          <w:b/>
          <w:bCs/>
          <w:color w:val="auto"/>
          <w:kern w:val="2"/>
          <w:sz w:val="32"/>
          <w:szCs w:val="32"/>
          <w:highlight w:val="none"/>
          <w:lang w:val="en-US" w:eastAsia="zh-CN" w:bidi="ar-SA"/>
        </w:rPr>
      </w:pPr>
    </w:p>
    <w:p w14:paraId="0C7200FB">
      <w:pPr>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3</w:t>
      </w:r>
    </w:p>
    <w:p w14:paraId="2DD8FD6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参加本次市场调研前的信用记录未列入失信执行人名单、重大税收违法案件当事人名单，无政府采购严重违法失信等行为的承诺函</w:t>
      </w:r>
    </w:p>
    <w:p w14:paraId="141F2ECF">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272BDD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03099E0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u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auto"/>
          <w:kern w:val="2"/>
          <w:sz w:val="32"/>
          <w:szCs w:val="32"/>
          <w:highlight w:val="none"/>
          <w:lang w:val="en-US" w:eastAsia="zh-CN" w:bidi="ar-SA"/>
        </w:rPr>
        <w:t>参加</w:t>
      </w:r>
      <w:r>
        <w:rPr>
          <w:rFonts w:hint="default" w:ascii="Times New Roman" w:hAnsi="Times New Roman" w:eastAsia="方正仿宋简体" w:cs="Times New Roman"/>
          <w:b/>
          <w:bCs/>
          <w:i w:val="0"/>
          <w:iCs w:val="0"/>
          <w:caps w:val="0"/>
          <w:color w:val="auto"/>
          <w:spacing w:val="0"/>
          <w:kern w:val="0"/>
          <w:sz w:val="32"/>
          <w:szCs w:val="32"/>
          <w:highlight w:val="none"/>
          <w:u w:val="none"/>
          <w:lang w:val="en-US" w:eastAsia="zh-CN" w:bidi="ar"/>
        </w:rPr>
        <w:t>威远县紧密型县域医共体管理委员会</w:t>
      </w:r>
      <w:r>
        <w:rPr>
          <w:rFonts w:hint="eastAsia" w:ascii="方正仿宋简体" w:hAnsi="方正仿宋简体" w:eastAsia="方正仿宋简体" w:cs="方正仿宋简体"/>
          <w:b/>
          <w:bCs/>
          <w:color w:val="auto"/>
          <w:kern w:val="2"/>
          <w:sz w:val="32"/>
          <w:szCs w:val="32"/>
          <w:highlight w:val="none"/>
          <w:u w:val="single"/>
          <w:lang w:val="en-US" w:eastAsia="zh-CN" w:bidi="ar-SA"/>
        </w:rPr>
        <w:t>关于威远县中医医院</w:t>
      </w:r>
      <w:r>
        <w:rPr>
          <w:rFonts w:hint="default" w:ascii="Times New Roman" w:hAnsi="Times New Roman" w:eastAsia="方正仿宋简体" w:cs="Times New Roman"/>
          <w:b/>
          <w:bCs/>
          <w:color w:val="auto"/>
          <w:kern w:val="2"/>
          <w:sz w:val="32"/>
          <w:szCs w:val="32"/>
          <w:highlight w:val="none"/>
          <w:u w:val="single"/>
          <w:lang w:val="en-US" w:eastAsia="zh-CN" w:bidi="ar-SA"/>
        </w:rPr>
        <w:t>2026</w:t>
      </w:r>
      <w:r>
        <w:rPr>
          <w:rFonts w:hint="eastAsia" w:ascii="方正仿宋简体" w:hAnsi="方正仿宋简体" w:eastAsia="方正仿宋简体" w:cs="方正仿宋简体"/>
          <w:b/>
          <w:bCs/>
          <w:color w:val="auto"/>
          <w:kern w:val="2"/>
          <w:sz w:val="32"/>
          <w:szCs w:val="32"/>
          <w:highlight w:val="none"/>
          <w:u w:val="single"/>
          <w:lang w:val="en-US" w:eastAsia="zh-CN" w:bidi="ar-SA"/>
        </w:rPr>
        <w:t>年省级中医优势专科建设购置医用设备</w:t>
      </w:r>
      <w:r>
        <w:rPr>
          <w:rFonts w:hint="eastAsia" w:ascii="Times New Roman" w:hAnsi="Times New Roman" w:eastAsia="方正仿宋简体" w:cs="Times New Roman"/>
          <w:b/>
          <w:bCs/>
          <w:i w:val="0"/>
          <w:iCs w:val="0"/>
          <w:caps w:val="0"/>
          <w:color w:val="auto"/>
          <w:spacing w:val="0"/>
          <w:sz w:val="32"/>
          <w:szCs w:val="32"/>
          <w:highlight w:val="none"/>
          <w:u w:val="none"/>
          <w:lang w:val="en-US" w:eastAsia="zh-CN"/>
        </w:rPr>
        <w:t>控制价</w:t>
      </w:r>
      <w:r>
        <w:rPr>
          <w:rFonts w:hint="eastAsia" w:ascii="方正仿宋简体" w:hAnsi="方正仿宋简体" w:eastAsia="方正仿宋简体" w:cs="方正仿宋简体"/>
          <w:b/>
          <w:bCs/>
          <w:color w:val="auto"/>
          <w:kern w:val="2"/>
          <w:sz w:val="32"/>
          <w:szCs w:val="32"/>
          <w:highlight w:val="none"/>
          <w:u w:val="none"/>
          <w:lang w:val="en-US" w:eastAsia="zh-CN" w:bidi="ar-SA"/>
        </w:rPr>
        <w:t>的调研活动，现承诺我公司在参加本次市场调研前的信用记录未列入失信执行人名单、重大税收违法案件当事人名单，无政府采购严重违法失信等行为。</w:t>
      </w:r>
    </w:p>
    <w:p w14:paraId="6627A132">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5009C01">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42BF2791">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1A710E4D">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79E44E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 应 商 名 称（加盖公章）：</w:t>
      </w:r>
    </w:p>
    <w:p w14:paraId="17BF4B1E">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749ED989">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126A8DE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09D7F911">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18F8EF9">
      <w:pPr>
        <w:rPr>
          <w:rFonts w:hint="eastAsia" w:ascii="方正仿宋简体" w:hAnsi="方正仿宋简体" w:eastAsia="方正仿宋简体" w:cs="方正仿宋简体"/>
          <w:b/>
          <w:bCs/>
          <w:color w:val="auto"/>
          <w:kern w:val="2"/>
          <w:sz w:val="32"/>
          <w:szCs w:val="32"/>
          <w:highlight w:val="none"/>
          <w:lang w:val="en-US" w:eastAsia="zh-CN" w:bidi="ar-SA"/>
        </w:rPr>
      </w:pPr>
    </w:p>
    <w:p w14:paraId="58CA9B8B">
      <w:pPr>
        <w:jc w:val="both"/>
        <w:rPr>
          <w:rFonts w:hint="default" w:ascii="方正小标宋简体" w:hAnsi="方正小标宋简体" w:eastAsia="方正小标宋简体" w:cs="方正小标宋简体"/>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4</w:t>
      </w:r>
    </w:p>
    <w:p w14:paraId="51F08E73">
      <w:pPr>
        <w:jc w:val="center"/>
        <w:rPr>
          <w:rFonts w:hint="default" w:ascii="Times New Roman" w:hAnsi="Times New Roman" w:eastAsia="方正仿宋简体" w:cs="Times New Roman"/>
          <w:b/>
          <w:bCs/>
          <w:color w:val="auto"/>
          <w:sz w:val="32"/>
          <w:szCs w:val="32"/>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444C94CC">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380AE8C2">
      <w:pPr>
        <w:pStyle w:val="12"/>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46D62EC9">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eastAsia" w:ascii="Times New Roman" w:hAnsi="Times New Roman" w:eastAsia="方正仿宋简体" w:cs="Times New Roman"/>
          <w:b/>
          <w:bCs/>
          <w:color w:val="auto"/>
          <w:sz w:val="32"/>
          <w:szCs w:val="32"/>
          <w:highlight w:val="none"/>
          <w:lang w:val="en-US" w:eastAsia="zh-CN"/>
        </w:rPr>
        <w:t xml:space="preserve">    </w:t>
      </w:r>
      <w:r>
        <w:rPr>
          <w:rFonts w:hint="default" w:ascii="Times New Roman" w:hAnsi="Times New Roman" w:eastAsia="方正仿宋简体" w:cs="Times New Roman"/>
          <w:b/>
          <w:bCs/>
          <w:color w:val="auto"/>
          <w:sz w:val="32"/>
          <w:szCs w:val="32"/>
          <w:highlight w:val="none"/>
        </w:rPr>
        <w:t>（二）具有良好的商业信誉和健全的财务会计制度；</w:t>
      </w:r>
    </w:p>
    <w:p w14:paraId="63512B3D">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（三）具有履行合同所必需的设备和专业技术能力； </w:t>
      </w:r>
    </w:p>
    <w:p w14:paraId="3ACDEA8D">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 xml:space="preserve">四）有依法缴纳税收和社会保障资金的良好记录； </w:t>
      </w:r>
    </w:p>
    <w:p w14:paraId="7AAD6069">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5C5681CB">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17D342AD">
      <w:pPr>
        <w:pStyle w:val="12"/>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6D9FB579">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17D0CBBB">
      <w:pPr>
        <w:keepNext w:val="0"/>
        <w:keepLines w:val="0"/>
        <w:pageBreakBefore w:val="0"/>
        <w:kinsoku/>
        <w:wordWrap/>
        <w:overflowPunct/>
        <w:topLinePunct w:val="0"/>
        <w:autoSpaceDE/>
        <w:autoSpaceDN/>
        <w:bidi w:val="0"/>
        <w:adjustRightInd/>
        <w:snapToGrid/>
        <w:spacing w:line="580" w:lineRule="exact"/>
        <w:textAlignment w:val="auto"/>
        <w:rPr>
          <w:rFonts w:hint="eastAsia" w:ascii="Times New Roman" w:hAnsi="Times New Roman" w:eastAsia="方正仿宋简体" w:cs="Times New Roman"/>
          <w:b/>
          <w:bCs/>
          <w:color w:val="auto"/>
          <w:sz w:val="32"/>
          <w:szCs w:val="32"/>
          <w:highlight w:val="none"/>
          <w:lang w:val="en-US" w:eastAsia="zh-CN"/>
        </w:rPr>
      </w:pPr>
    </w:p>
    <w:p w14:paraId="51E54CA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54E3206F">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014069C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20316BAA">
      <w:pPr>
        <w:pStyle w:val="2"/>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附件5</w:t>
      </w:r>
    </w:p>
    <w:p w14:paraId="21F7F5A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hint="default" w:ascii="Times New Roman" w:hAnsi="Times New Roman" w:eastAsia="方正小标宋简体" w:cs="Times New Roman"/>
          <w:b/>
          <w:bCs/>
          <w:color w:val="auto"/>
          <w:spacing w:val="5"/>
          <w:sz w:val="44"/>
          <w:szCs w:val="44"/>
          <w:lang w:val="en-US" w:eastAsia="en-US"/>
        </w:rPr>
      </w:pPr>
      <w:r>
        <w:rPr>
          <w:rFonts w:hint="default" w:ascii="Times New Roman" w:hAnsi="Times New Roman" w:eastAsia="方正小标宋简体" w:cs="Times New Roman"/>
          <w:b/>
          <w:bCs/>
          <w:color w:val="auto"/>
          <w:spacing w:val="5"/>
          <w:sz w:val="44"/>
          <w:szCs w:val="44"/>
          <w:lang w:val="en-US" w:eastAsia="zh-CN"/>
        </w:rPr>
        <w:t>威远县</w:t>
      </w:r>
      <w:r>
        <w:rPr>
          <w:rFonts w:hint="eastAsia" w:ascii="Times New Roman" w:hAnsi="Times New Roman" w:eastAsia="方正小标宋简体" w:cs="Times New Roman"/>
          <w:b/>
          <w:bCs/>
          <w:color w:val="auto"/>
          <w:spacing w:val="5"/>
          <w:sz w:val="44"/>
          <w:szCs w:val="44"/>
          <w:lang w:val="en-US" w:eastAsia="zh-CN"/>
        </w:rPr>
        <w:t>中医医院</w:t>
      </w:r>
      <w:r>
        <w:rPr>
          <w:rFonts w:hint="default" w:ascii="Times New Roman" w:hAnsi="Times New Roman" w:eastAsia="方正小标宋简体" w:cs="Times New Roman"/>
          <w:b/>
          <w:bCs/>
          <w:color w:val="auto"/>
          <w:spacing w:val="5"/>
          <w:sz w:val="44"/>
          <w:szCs w:val="44"/>
          <w:lang w:val="en-US" w:eastAsia="zh-CN"/>
        </w:rPr>
        <w:t>2026</w:t>
      </w:r>
      <w:r>
        <w:rPr>
          <w:rFonts w:hint="eastAsia" w:ascii="Times New Roman" w:hAnsi="Times New Roman" w:eastAsia="方正小标宋简体" w:cs="Times New Roman"/>
          <w:b/>
          <w:bCs/>
          <w:color w:val="auto"/>
          <w:spacing w:val="5"/>
          <w:sz w:val="44"/>
          <w:szCs w:val="44"/>
          <w:lang w:val="en-US" w:eastAsia="zh-CN"/>
        </w:rPr>
        <w:t>年省级中医优势专科康复科建设购置医用设备</w:t>
      </w:r>
      <w:r>
        <w:rPr>
          <w:rFonts w:hint="default" w:ascii="Times New Roman" w:hAnsi="Times New Roman" w:eastAsia="方正小标宋简体" w:cs="Times New Roman"/>
          <w:b/>
          <w:bCs/>
          <w:color w:val="auto"/>
          <w:spacing w:val="5"/>
          <w:sz w:val="44"/>
          <w:szCs w:val="44"/>
          <w:lang w:val="en-US" w:eastAsia="en-US"/>
        </w:rPr>
        <w:t>报价函</w:t>
      </w:r>
    </w:p>
    <w:p w14:paraId="6E168570">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黑体简体" w:cs="Times New Roman"/>
          <w:b w:val="0"/>
          <w:bCs w:val="0"/>
          <w:color w:val="auto"/>
          <w:sz w:val="32"/>
          <w:szCs w:val="32"/>
          <w:u w:val="single"/>
          <w:lang w:val="en-US" w:eastAsia="zh-CN"/>
        </w:rPr>
      </w:pPr>
    </w:p>
    <w:p w14:paraId="7044D223">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color w:val="auto"/>
          <w:sz w:val="32"/>
          <w:szCs w:val="32"/>
          <w:u w:val="single"/>
          <w:lang w:val="en-US" w:eastAsia="zh-CN"/>
        </w:rPr>
        <w:t>威远县紧密型县域医共体管理委员会</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0916FC77">
      <w:pPr>
        <w:pStyle w:val="2"/>
        <w:keepNext w:val="0"/>
        <w:keepLines w:val="0"/>
        <w:pageBreakBefore w:val="0"/>
        <w:widowControl/>
        <w:kinsoku w:val="0"/>
        <w:wordWrap/>
        <w:overflowPunct/>
        <w:topLinePunct w:val="0"/>
        <w:autoSpaceDE w:val="0"/>
        <w:autoSpaceDN w:val="0"/>
        <w:bidi w:val="0"/>
        <w:adjustRightInd w:val="0"/>
        <w:snapToGrid w:val="0"/>
        <w:spacing w:line="720" w:lineRule="exact"/>
        <w:ind w:firstLine="667" w:firstLineChars="200"/>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ab/>
      </w:r>
      <w:r>
        <w:rPr>
          <w:rFonts w:hint="default"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eastAsia"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报价单位名称</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就</w:t>
      </w:r>
      <w:r>
        <w:rPr>
          <w:rFonts w:hint="default" w:ascii="Times New Roman" w:hAnsi="Times New Roman" w:eastAsia="方正仿宋简体" w:cs="Times New Roman"/>
          <w:b/>
          <w:bCs/>
          <w:color w:val="auto"/>
          <w:sz w:val="32"/>
          <w:szCs w:val="32"/>
          <w:u w:val="none"/>
          <w:lang w:val="en-US" w:eastAsia="zh-CN"/>
        </w:rPr>
        <w:t>威远县</w:t>
      </w:r>
      <w:r>
        <w:rPr>
          <w:rFonts w:hint="eastAsia" w:ascii="Times New Roman" w:hAnsi="Times New Roman" w:eastAsia="方正仿宋简体" w:cs="Times New Roman"/>
          <w:b/>
          <w:bCs/>
          <w:color w:val="auto"/>
          <w:sz w:val="32"/>
          <w:szCs w:val="32"/>
          <w:u w:val="none"/>
          <w:lang w:val="en-US" w:eastAsia="zh-CN"/>
        </w:rPr>
        <w:t>中医医院2026年省级中医优势专科康复科建设购置医用设备</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报价为人民币</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大写：</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5EAFA9B2">
      <w:pPr>
        <w:pStyle w:val="2"/>
        <w:keepNext w:val="0"/>
        <w:keepLines w:val="0"/>
        <w:pageBreakBefore w:val="0"/>
        <w:widowControl/>
        <w:kinsoku w:val="0"/>
        <w:wordWrap/>
        <w:overflowPunct/>
        <w:topLinePunct w:val="0"/>
        <w:autoSpaceDE w:val="0"/>
        <w:autoSpaceDN w:val="0"/>
        <w:bidi w:val="0"/>
        <w:adjustRightInd w:val="0"/>
        <w:snapToGrid w:val="0"/>
        <w:spacing w:line="660" w:lineRule="exact"/>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26136080">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2D3926C0">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09F7AD3E">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790AE9E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2A10DD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0150EC5E">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报价单位（加盖公章）：</w:t>
      </w:r>
    </w:p>
    <w:p w14:paraId="00CC757F">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044A7C2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210A4C43">
      <w:pPr>
        <w:pStyle w:val="3"/>
        <w:rPr>
          <w:rFonts w:hint="default"/>
          <w:lang w:val="en-US" w:eastAsia="zh-CN"/>
        </w:rPr>
      </w:pPr>
    </w:p>
    <w:p w14:paraId="55ABBE1F">
      <w:bookmarkStart w:id="0" w:name="_GoBack"/>
      <w:bookmarkEnd w:id="0"/>
    </w:p>
    <w:sectPr>
      <w:headerReference r:id="rId3" w:type="default"/>
      <w:footerReference r:id="rId4" w:type="default"/>
      <w:pgSz w:w="11906" w:h="16838"/>
      <w:pgMar w:top="2098" w:right="1531" w:bottom="1928" w:left="1531"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464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A1FBA2">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v:imagedata o:title=""/>
              <o:lock v:ext="edit" aspectratio="f"/>
              <v:textbox inset="0mm,0mm,0mm,0mm" style="mso-fit-shape-to-text:t;">
                <w:txbxContent>
                  <w:p w14:paraId="6AA1FBA2">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18B5C">
    <w:pPr>
      <w:pStyle w:val="5"/>
      <w:pBdr>
        <w:bottom w:val="none" w:color="auto" w:sz="0" w:space="0"/>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E4AE4"/>
    <w:rsid w:val="517E4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kern w:val="2"/>
      <w:sz w:val="21"/>
      <w:szCs w:val="24"/>
    </w:rPr>
  </w:style>
  <w:style w:type="paragraph" w:styleId="3">
    <w:name w:val="Date"/>
    <w:basedOn w:val="1"/>
    <w:next w:val="1"/>
    <w:qFormat/>
    <w:uiPriority w:val="0"/>
    <w:rPr>
      <w:color w:val="000000"/>
      <w:kern w:val="0"/>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table" w:customStyle="1" w:styleId="11">
    <w:name w:val="Table Normal"/>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12">
    <w:name w:val="_正文段落"/>
    <w:basedOn w:val="1"/>
    <w:qFormat/>
    <w:uiPriority w:val="0"/>
    <w:pPr>
      <w:spacing w:beforeLines="15" w:afterLines="15" w:line="360" w:lineRule="auto"/>
      <w:ind w:firstLine="200" w:firstLineChars="200"/>
    </w:pPr>
    <w:rPr>
      <w:rFonts w:ascii="宋体" w:eastAsia="仿宋_GB2312"/>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2026-11-04T02:23:00Z</dcterms:created>
  <dc:creator>啊</dc:creator>
  <cp:lastModifiedBy>啊</cp:lastModifiedBy>
  <dcterms:modified xsi:type="dcterms:W3CDTF">2026-11-04T02:23:23Z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9047A822DC5C4F0BB75AF1B12721F6E4_11</vt:lpwstr>
  </property>
  <property fmtid="{D5CDD505-2E9C-101B-9397-08002B2CF9AE}" pid="4" name="KSOTemplateDocerSaveRecord">
    <vt:lpwstr>eyJoZGlkIjoiYWQ3ZWYxOGJiOWQzZTc2N2ZhZTQxZWRlMzNiY2VmODQiLCJ1c2VySWQiOiI0NTg5NTQ3MDQifQ==</vt:lpwstr>
  </property>
</Properties>
</file>